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88"/>
        <w:ind w:left="1020" w:right="0" w:firstLine="0"/>
        <w:jc w:val="left"/>
        <w:rPr>
          <w:sz w:val="32"/>
        </w:rPr>
      </w:pPr>
      <w:r>
        <w:rPr/>
        <w:drawing>
          <wp:anchor distT="0" distB="0" distL="0" distR="0" allowOverlap="1" layoutInCell="1" locked="0" behindDoc="1" simplePos="0" relativeHeight="268427591">
            <wp:simplePos x="0" y="0"/>
            <wp:positionH relativeFrom="page">
              <wp:posOffset>4420258</wp:posOffset>
            </wp:positionH>
            <wp:positionV relativeFrom="paragraph">
              <wp:posOffset>3773</wp:posOffset>
            </wp:positionV>
            <wp:extent cx="3139733" cy="551018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39733" cy="5510180"/>
                    </a:xfrm>
                    <a:prstGeom prst="rect">
                      <a:avLst/>
                    </a:prstGeom>
                  </pic:spPr>
                </pic:pic>
              </a:graphicData>
            </a:graphic>
          </wp:anchor>
        </w:drawing>
      </w:r>
      <w:r>
        <w:rPr>
          <w:sz w:val="32"/>
        </w:rPr>
        <w:t>Chancellerie des universités de Paris</w:t>
      </w:r>
    </w:p>
    <w:p>
      <w:pPr>
        <w:pStyle w:val="BodyText"/>
        <w:spacing w:before="7"/>
        <w:rPr>
          <w:sz w:val="27"/>
        </w:rPr>
      </w:pPr>
      <w:r>
        <w:rPr/>
        <w:drawing>
          <wp:anchor distT="0" distB="0" distL="0" distR="0" allowOverlap="1" layoutInCell="1" locked="0" behindDoc="0" simplePos="0" relativeHeight="0">
            <wp:simplePos x="0" y="0"/>
            <wp:positionH relativeFrom="page">
              <wp:posOffset>648000</wp:posOffset>
            </wp:positionH>
            <wp:positionV relativeFrom="paragraph">
              <wp:posOffset>226658</wp:posOffset>
            </wp:positionV>
            <wp:extent cx="1645321" cy="1728787"/>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645321" cy="1728787"/>
                    </a:xfrm>
                    <a:prstGeom prst="rect">
                      <a:avLst/>
                    </a:prstGeom>
                  </pic:spPr>
                </pic:pic>
              </a:graphicData>
            </a:graphic>
          </wp:anchor>
        </w:drawing>
      </w:r>
    </w:p>
    <w:p>
      <w:pPr>
        <w:pStyle w:val="BodyText"/>
        <w:spacing w:before="4"/>
        <w:rPr>
          <w:sz w:val="56"/>
        </w:rPr>
      </w:pPr>
    </w:p>
    <w:p>
      <w:pPr>
        <w:spacing w:line="237" w:lineRule="auto" w:before="0"/>
        <w:ind w:left="1020" w:right="1578" w:firstLine="0"/>
        <w:jc w:val="left"/>
        <w:rPr>
          <w:sz w:val="80"/>
        </w:rPr>
      </w:pPr>
      <w:r>
        <w:rPr>
          <w:sz w:val="80"/>
        </w:rPr>
        <w:t>APPEL À </w:t>
      </w:r>
      <w:r>
        <w:rPr>
          <w:w w:val="95"/>
          <w:sz w:val="80"/>
        </w:rPr>
        <w:t>CANDIDATURES</w:t>
      </w:r>
    </w:p>
    <w:p>
      <w:pPr>
        <w:spacing w:line="411" w:lineRule="exact" w:before="579"/>
        <w:ind w:left="1020" w:right="0" w:firstLine="0"/>
        <w:jc w:val="left"/>
        <w:rPr>
          <w:sz w:val="46"/>
        </w:rPr>
      </w:pPr>
      <w:r>
        <w:rPr>
          <w:sz w:val="46"/>
        </w:rPr>
        <w:t>MONTANT DU PRIX :</w:t>
      </w:r>
    </w:p>
    <w:p>
      <w:pPr>
        <w:spacing w:line="1032" w:lineRule="exact" w:before="0"/>
        <w:ind w:left="1020" w:right="0" w:firstLine="0"/>
        <w:jc w:val="left"/>
        <w:rPr>
          <w:sz w:val="100"/>
        </w:rPr>
      </w:pPr>
      <w:r>
        <w:rPr>
          <w:color w:val="9A9B9B"/>
          <w:sz w:val="100"/>
        </w:rPr>
        <w:t>1</w:t>
      </w:r>
      <w:r>
        <w:rPr>
          <w:color w:val="9A9B9B"/>
          <w:spacing w:val="-153"/>
          <w:sz w:val="100"/>
        </w:rPr>
        <w:t> </w:t>
      </w:r>
      <w:r>
        <w:rPr>
          <w:color w:val="9A9B9B"/>
          <w:sz w:val="100"/>
        </w:rPr>
        <w:t>500</w:t>
      </w:r>
      <w:r>
        <w:rPr>
          <w:color w:val="9A9B9B"/>
          <w:spacing w:val="-112"/>
          <w:sz w:val="100"/>
        </w:rPr>
        <w:t> </w:t>
      </w:r>
      <w:r>
        <w:rPr>
          <w:color w:val="9A9B9B"/>
          <w:sz w:val="100"/>
          <w:vertAlign w:val="subscript"/>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5"/>
        </w:rPr>
      </w:pPr>
    </w:p>
    <w:p>
      <w:pPr>
        <w:spacing w:after="0"/>
        <w:rPr>
          <w:sz w:val="25"/>
        </w:rPr>
        <w:sectPr>
          <w:type w:val="continuous"/>
          <w:pgSz w:w="11910" w:h="16840"/>
          <w:pgMar w:top="600" w:bottom="280" w:left="0" w:right="0"/>
        </w:sectPr>
      </w:pPr>
    </w:p>
    <w:p>
      <w:pPr>
        <w:pStyle w:val="BodyText"/>
        <w:rPr>
          <w:sz w:val="32"/>
        </w:rPr>
      </w:pPr>
    </w:p>
    <w:p>
      <w:pPr>
        <w:pStyle w:val="BodyText"/>
        <w:rPr>
          <w:sz w:val="32"/>
        </w:rPr>
      </w:pPr>
    </w:p>
    <w:p>
      <w:pPr>
        <w:pStyle w:val="BodyText"/>
        <w:rPr>
          <w:sz w:val="32"/>
        </w:rPr>
      </w:pPr>
    </w:p>
    <w:p>
      <w:pPr>
        <w:pStyle w:val="BodyText"/>
        <w:spacing w:before="3"/>
        <w:rPr>
          <w:sz w:val="37"/>
        </w:rPr>
      </w:pPr>
    </w:p>
    <w:p>
      <w:pPr>
        <w:spacing w:before="0"/>
        <w:ind w:left="1020" w:right="0" w:firstLine="0"/>
        <w:jc w:val="left"/>
        <w:rPr>
          <w:sz w:val="28"/>
        </w:rPr>
      </w:pPr>
      <w:r>
        <w:rPr>
          <w:color w:val="626261"/>
          <w:sz w:val="28"/>
        </w:rPr>
        <w:t>#PrixHertz</w:t>
      </w:r>
    </w:p>
    <w:p>
      <w:pPr>
        <w:spacing w:before="33"/>
        <w:ind w:left="1020" w:right="0" w:firstLine="0"/>
        <w:jc w:val="left"/>
        <w:rPr>
          <w:sz w:val="28"/>
        </w:rPr>
      </w:pPr>
      <w:r>
        <w:rPr>
          <w:color w:val="626261"/>
          <w:w w:val="95"/>
          <w:sz w:val="28"/>
        </w:rPr>
        <w:t>#SorbonneFr</w:t>
      </w:r>
    </w:p>
    <w:p>
      <w:pPr>
        <w:spacing w:before="85"/>
        <w:ind w:left="1020" w:right="0" w:firstLine="0"/>
        <w:jc w:val="left"/>
        <w:rPr>
          <w:sz w:val="140"/>
        </w:rPr>
      </w:pPr>
      <w:r>
        <w:rPr/>
        <w:br w:type="column"/>
      </w:r>
      <w:r>
        <w:rPr>
          <w:color w:val="C4231C"/>
          <w:sz w:val="140"/>
        </w:rPr>
        <w:t>2</w:t>
      </w:r>
      <w:r>
        <w:rPr>
          <w:color w:val="C4231C"/>
          <w:spacing w:val="-105"/>
          <w:sz w:val="140"/>
        </w:rPr>
        <w:t> </w:t>
      </w:r>
      <w:r>
        <w:rPr>
          <w:color w:val="C4231C"/>
          <w:sz w:val="140"/>
        </w:rPr>
        <w:t>0</w:t>
      </w:r>
      <w:r>
        <w:rPr>
          <w:color w:val="C4231C"/>
          <w:spacing w:val="-106"/>
          <w:sz w:val="140"/>
        </w:rPr>
        <w:t> </w:t>
      </w:r>
      <w:r>
        <w:rPr>
          <w:color w:val="C4231C"/>
          <w:sz w:val="140"/>
        </w:rPr>
        <w:t>1</w:t>
      </w:r>
      <w:r>
        <w:rPr>
          <w:color w:val="C4231C"/>
          <w:spacing w:val="-105"/>
          <w:sz w:val="140"/>
        </w:rPr>
        <w:t> </w:t>
      </w:r>
      <w:r>
        <w:rPr>
          <w:color w:val="C4231C"/>
          <w:sz w:val="140"/>
        </w:rPr>
        <w:t>9</w:t>
      </w:r>
    </w:p>
    <w:p>
      <w:pPr>
        <w:spacing w:before="213"/>
        <w:ind w:left="2867" w:right="0" w:firstLine="0"/>
        <w:jc w:val="left"/>
        <w:rPr>
          <w:sz w:val="28"/>
        </w:rPr>
      </w:pPr>
      <w:r>
        <w:rPr/>
        <w:pict>
          <v:group style="position:absolute;margin-left:0pt;margin-top:-275.285156pt;width:595.3pt;height:201.95pt;mso-position-horizontal-relative:page;mso-position-vertical-relative:paragraph;z-index:-7888" coordorigin="0,-5506" coordsize="11906,4039">
            <v:rect style="position:absolute;left:0;top:-5436;width:11906;height:3969" filled="true" fillcolor="#c4231c" stroked="false">
              <v:fill type="solid"/>
            </v:rect>
            <v:shapetype id="_x0000_t202" o:spt="202" coordsize="21600,21600" path="m,l,21600r21600,l21600,xe">
              <v:stroke joinstyle="miter"/>
              <v:path gradientshapeok="t" o:connecttype="rect"/>
            </v:shapetype>
            <v:shape style="position:absolute;left:0;top:-5506;width:11906;height:4039" type="#_x0000_t202" filled="false" stroked="false">
              <v:textbox inset="0,0,0,0">
                <w:txbxContent>
                  <w:p>
                    <w:pPr>
                      <w:spacing w:line="1989" w:lineRule="exact" w:before="54"/>
                      <w:ind w:left="882" w:right="789" w:firstLine="0"/>
                      <w:jc w:val="center"/>
                      <w:rPr>
                        <w:sz w:val="186"/>
                      </w:rPr>
                    </w:pPr>
                    <w:r>
                      <w:rPr>
                        <w:color w:val="FFFFFF"/>
                        <w:spacing w:val="91"/>
                        <w:sz w:val="186"/>
                      </w:rPr>
                      <w:t>Prix</w:t>
                    </w:r>
                  </w:p>
                  <w:p>
                    <w:pPr>
                      <w:spacing w:line="1989" w:lineRule="exact" w:before="0"/>
                      <w:ind w:left="883" w:right="789" w:firstLine="0"/>
                      <w:jc w:val="center"/>
                      <w:rPr>
                        <w:sz w:val="186"/>
                      </w:rPr>
                    </w:pPr>
                    <w:r>
                      <w:rPr>
                        <w:color w:val="FFFFFF"/>
                        <w:spacing w:val="72"/>
                        <w:sz w:val="186"/>
                      </w:rPr>
                      <w:t>Henri</w:t>
                    </w:r>
                    <w:r>
                      <w:rPr>
                        <w:color w:val="FFFFFF"/>
                        <w:spacing w:val="-37"/>
                        <w:sz w:val="186"/>
                      </w:rPr>
                      <w:t> </w:t>
                    </w:r>
                    <w:r>
                      <w:rPr>
                        <w:color w:val="FFFFFF"/>
                        <w:spacing w:val="91"/>
                        <w:sz w:val="186"/>
                      </w:rPr>
                      <w:t>Hertz</w:t>
                    </w:r>
                  </w:p>
                </w:txbxContent>
              </v:textbox>
              <w10:wrap type="none"/>
            </v:shape>
            <w10:wrap type="none"/>
          </v:group>
        </w:pict>
      </w:r>
      <w:hyperlink r:id="rId7">
        <w:r>
          <w:rPr>
            <w:color w:val="9A9B9B"/>
            <w:sz w:val="28"/>
            <w:u w:val="single" w:color="9A9B9B"/>
          </w:rPr>
          <w:t>www.sorbonne.fr</w:t>
        </w:r>
      </w:hyperlink>
    </w:p>
    <w:p>
      <w:pPr>
        <w:spacing w:after="0"/>
        <w:jc w:val="left"/>
        <w:rPr>
          <w:sz w:val="28"/>
        </w:rPr>
        <w:sectPr>
          <w:type w:val="continuous"/>
          <w:pgSz w:w="11910" w:h="16840"/>
          <w:pgMar w:top="600" w:bottom="280" w:left="0" w:right="0"/>
          <w:cols w:num="2" w:equalWidth="0">
            <w:col w:w="2715" w:space="3238"/>
            <w:col w:w="5957"/>
          </w:cols>
        </w:sectPr>
      </w:pPr>
    </w:p>
    <w:p>
      <w:pPr>
        <w:spacing w:before="74"/>
        <w:ind w:left="1416" w:right="1416" w:firstLine="0"/>
        <w:jc w:val="center"/>
        <w:rPr>
          <w:b/>
          <w:sz w:val="28"/>
        </w:rPr>
      </w:pPr>
      <w:r>
        <w:rPr>
          <w:b/>
          <w:sz w:val="28"/>
        </w:rPr>
        <w:t>Prix Henri Hertz</w:t>
      </w:r>
    </w:p>
    <w:p>
      <w:pPr>
        <w:spacing w:before="2"/>
        <w:ind w:left="3835" w:right="0" w:firstLine="0"/>
        <w:jc w:val="left"/>
        <w:rPr>
          <w:b/>
          <w:sz w:val="28"/>
        </w:rPr>
      </w:pPr>
      <w:r>
        <w:rPr>
          <w:b/>
          <w:sz w:val="28"/>
        </w:rPr>
        <w:t>APPEL À CANDIDATURES 2019</w:t>
      </w:r>
    </w:p>
    <w:p>
      <w:pPr>
        <w:pStyle w:val="BodyText"/>
        <w:rPr>
          <w:b/>
          <w:sz w:val="30"/>
        </w:rPr>
      </w:pPr>
    </w:p>
    <w:p>
      <w:pPr>
        <w:pStyle w:val="Heading2"/>
        <w:spacing w:before="228"/>
        <w:ind w:right="1416"/>
        <w:jc w:val="center"/>
      </w:pPr>
      <w:r>
        <w:rPr/>
        <w:t>Henri Hertz (1875-1966)</w:t>
      </w:r>
    </w:p>
    <w:p>
      <w:pPr>
        <w:pStyle w:val="BodyText"/>
        <w:rPr>
          <w:b/>
          <w:sz w:val="22"/>
        </w:rPr>
      </w:pPr>
    </w:p>
    <w:p>
      <w:pPr>
        <w:pStyle w:val="BodyText"/>
        <w:ind w:left="1132" w:right="987"/>
        <w:jc w:val="both"/>
      </w:pPr>
      <w:r>
        <w:rPr/>
        <w:t>Né le 17 juin 1875 à Nogent-sur-Seine, d'une famille juive lorraine, Henri Hertz rencontra au lycée de Rennes Alfred Jarry dont il devint l’ami et le condisciple.</w:t>
      </w:r>
    </w:p>
    <w:p>
      <w:pPr>
        <w:pStyle w:val="BodyText"/>
        <w:spacing w:before="1"/>
      </w:pPr>
    </w:p>
    <w:p>
      <w:pPr>
        <w:pStyle w:val="BodyText"/>
        <w:ind w:left="1132" w:right="987"/>
        <w:jc w:val="both"/>
      </w:pPr>
      <w:r>
        <w:rPr/>
        <w:t>L’affaire Dreyfus marqua fortement l’adolescent… Fils de militaire, il prit alors conscience de son judaïsme et de ses implications politiques.</w:t>
      </w:r>
    </w:p>
    <w:p>
      <w:pPr>
        <w:pStyle w:val="BodyText"/>
        <w:spacing w:before="9"/>
        <w:rPr>
          <w:sz w:val="20"/>
        </w:rPr>
      </w:pPr>
    </w:p>
    <w:p>
      <w:pPr>
        <w:spacing w:before="0"/>
        <w:ind w:left="1132" w:right="986" w:firstLine="0"/>
        <w:jc w:val="both"/>
        <w:rPr>
          <w:sz w:val="21"/>
        </w:rPr>
      </w:pPr>
      <w:r>
        <w:rPr>
          <w:sz w:val="21"/>
        </w:rPr>
        <w:t>Installé à Paris en 1895, il collabora aux grandes revues littéraires telles que la </w:t>
      </w:r>
      <w:r>
        <w:rPr>
          <w:i/>
          <w:sz w:val="21"/>
        </w:rPr>
        <w:t>Revue générale </w:t>
      </w:r>
      <w:r>
        <w:rPr>
          <w:i/>
          <w:sz w:val="21"/>
        </w:rPr>
        <w:t>Internationale </w:t>
      </w:r>
      <w:r>
        <w:rPr>
          <w:sz w:val="21"/>
        </w:rPr>
        <w:t>de Louis Gastine, </w:t>
      </w:r>
      <w:r>
        <w:rPr>
          <w:i/>
          <w:sz w:val="21"/>
        </w:rPr>
        <w:t>Mercure de France </w:t>
      </w:r>
      <w:r>
        <w:rPr>
          <w:sz w:val="21"/>
        </w:rPr>
        <w:t>ou encore la </w:t>
      </w:r>
      <w:r>
        <w:rPr>
          <w:i/>
          <w:sz w:val="21"/>
        </w:rPr>
        <w:t>Revue blanche </w:t>
      </w:r>
      <w:r>
        <w:rPr>
          <w:sz w:val="21"/>
        </w:rPr>
        <w:t>à partir de 1901.</w:t>
      </w:r>
    </w:p>
    <w:p>
      <w:pPr>
        <w:pStyle w:val="BodyText"/>
      </w:pPr>
    </w:p>
    <w:p>
      <w:pPr>
        <w:pStyle w:val="BodyText"/>
        <w:spacing w:before="1"/>
        <w:ind w:left="1132" w:right="983"/>
        <w:jc w:val="both"/>
      </w:pPr>
      <w:r>
        <w:rPr/>
        <w:t>La vie parisienne et journalistique permit à Henri Hertz de se lier avec André Salmon, Georges Duhamel et Max Jacob, qui le tenait pour « l’un des plus singuliers [écrivains] du moment ». Il publia ses premières œuvres en 1906 mais il ne fut remarqué qu’à partir de 1912 avec </w:t>
      </w:r>
      <w:r>
        <w:rPr>
          <w:i/>
        </w:rPr>
        <w:t>Les apartés</w:t>
      </w:r>
      <w:r>
        <w:rPr/>
        <w:t>, œuvre emplie d’un humour grinçant et de sombres pressentiments. La critique le salua alors comme le meilleur recueil de vers de</w:t>
      </w:r>
      <w:r>
        <w:rPr>
          <w:spacing w:val="-4"/>
        </w:rPr>
        <w:t> </w:t>
      </w:r>
      <w:r>
        <w:rPr/>
        <w:t>l’année.</w:t>
      </w:r>
    </w:p>
    <w:p>
      <w:pPr>
        <w:pStyle w:val="BodyText"/>
        <w:spacing w:before="1"/>
      </w:pPr>
    </w:p>
    <w:p>
      <w:pPr>
        <w:pStyle w:val="BodyText"/>
        <w:ind w:left="1132" w:right="984"/>
        <w:jc w:val="both"/>
      </w:pPr>
      <w:r>
        <w:rPr/>
        <w:t>Il rencontra par la suite Aristide Briand et, sous son égide, participa à </w:t>
      </w:r>
      <w:r>
        <w:rPr>
          <w:i/>
        </w:rPr>
        <w:t>La Démocratie Sociale </w:t>
      </w:r>
      <w:r>
        <w:rPr/>
        <w:t>puis à </w:t>
      </w:r>
      <w:r>
        <w:rPr>
          <w:i/>
        </w:rPr>
        <w:t>La </w:t>
      </w:r>
      <w:r>
        <w:rPr>
          <w:i/>
        </w:rPr>
        <w:t>Phalange</w:t>
      </w:r>
      <w:r>
        <w:rPr/>
        <w:t>, revue représentative du mouvement néo-symboliste.</w:t>
      </w:r>
    </w:p>
    <w:p>
      <w:pPr>
        <w:pStyle w:val="BodyText"/>
      </w:pPr>
    </w:p>
    <w:p>
      <w:pPr>
        <w:spacing w:before="0"/>
        <w:ind w:left="1132" w:right="985" w:firstLine="0"/>
        <w:jc w:val="both"/>
        <w:rPr>
          <w:sz w:val="21"/>
        </w:rPr>
      </w:pPr>
      <w:r>
        <w:rPr>
          <w:sz w:val="21"/>
        </w:rPr>
        <w:t>La majeure partie de son œuvre – poèmes, essais, contes, nouvelles et romans – se situe entre l’après- guerre et le début des années trente : </w:t>
      </w:r>
      <w:r>
        <w:rPr>
          <w:i/>
          <w:sz w:val="21"/>
        </w:rPr>
        <w:t>Lieux communs</w:t>
      </w:r>
      <w:r>
        <w:rPr>
          <w:sz w:val="21"/>
        </w:rPr>
        <w:t>, </w:t>
      </w:r>
      <w:r>
        <w:rPr>
          <w:i/>
          <w:sz w:val="21"/>
        </w:rPr>
        <w:t>Barbusse</w:t>
      </w:r>
      <w:r>
        <w:rPr>
          <w:sz w:val="21"/>
        </w:rPr>
        <w:t>, </w:t>
      </w:r>
      <w:r>
        <w:rPr>
          <w:i/>
          <w:sz w:val="21"/>
        </w:rPr>
        <w:t>Degas</w:t>
      </w:r>
      <w:r>
        <w:rPr>
          <w:sz w:val="21"/>
        </w:rPr>
        <w:t>, </w:t>
      </w:r>
      <w:r>
        <w:rPr>
          <w:i/>
          <w:sz w:val="21"/>
        </w:rPr>
        <w:t>Le guignol horizontal</w:t>
      </w:r>
      <w:r>
        <w:rPr>
          <w:sz w:val="21"/>
        </w:rPr>
        <w:t>, </w:t>
      </w:r>
      <w:r>
        <w:rPr>
          <w:i/>
          <w:sz w:val="21"/>
        </w:rPr>
        <w:t>Enlèvement sans amant</w:t>
      </w:r>
      <w:r>
        <w:rPr>
          <w:sz w:val="21"/>
        </w:rPr>
        <w:t>, etc. En 1939, il fut lauréat du Prix Mallarmé – l’une des plus prestigieuses distinctions poétiques françaises – pour son recueil </w:t>
      </w:r>
      <w:r>
        <w:rPr>
          <w:i/>
          <w:sz w:val="21"/>
        </w:rPr>
        <w:t>Passavant</w:t>
      </w:r>
      <w:r>
        <w:rPr>
          <w:sz w:val="21"/>
        </w:rPr>
        <w:t>.</w:t>
      </w:r>
    </w:p>
    <w:p>
      <w:pPr>
        <w:pStyle w:val="BodyText"/>
      </w:pPr>
    </w:p>
    <w:p>
      <w:pPr>
        <w:pStyle w:val="BodyText"/>
        <w:ind w:left="1132" w:right="984"/>
        <w:jc w:val="both"/>
      </w:pPr>
      <w:r>
        <w:rPr/>
        <w:t>Parallèlement, Henri Hertz entreprit une carrière de journaliste international. Il entrevit dès 1922 les dangers de la naissance du fascisme en Italie et participa en 1925 à la création du Comité d'Action France-Palestine. Il fut, plus tard, secrétaire général de la section française du Congrès juif mondial.</w:t>
      </w:r>
    </w:p>
    <w:p>
      <w:pPr>
        <w:pStyle w:val="BodyText"/>
        <w:spacing w:before="11"/>
        <w:rPr>
          <w:sz w:val="20"/>
        </w:rPr>
      </w:pPr>
    </w:p>
    <w:p>
      <w:pPr>
        <w:pStyle w:val="BodyText"/>
        <w:ind w:left="1132" w:right="983"/>
        <w:jc w:val="both"/>
      </w:pPr>
      <w:r>
        <w:rPr/>
        <w:t>L’engagement d’Henri Hertz face à la montée des périls qui secouèrent l’entre-deux-guerres, se poursuivit encore de 1940 à 1944 par une activité clandestine intense. Après la libération, il resta hanté par les déchaînements de violence provoqués par le nazisme et rédigea un document qui fut communiqué aux jurés du procès Pétain, </w:t>
      </w:r>
      <w:r>
        <w:rPr>
          <w:i/>
        </w:rPr>
        <w:t>Les juifs à la barre</w:t>
      </w:r>
      <w:r>
        <w:rPr/>
        <w:t>, dans lequel il parla « au nom de tous les juifs de France » ; en 1952 encore, il donna à la revue </w:t>
      </w:r>
      <w:r>
        <w:rPr>
          <w:i/>
        </w:rPr>
        <w:t>Quand </w:t>
      </w:r>
      <w:r>
        <w:rPr>
          <w:i/>
          <w:spacing w:val="-3"/>
        </w:rPr>
        <w:t>même </w:t>
      </w:r>
      <w:r>
        <w:rPr/>
        <w:t>un article contre le racisme, </w:t>
      </w:r>
      <w:r>
        <w:rPr>
          <w:i/>
        </w:rPr>
        <w:t>Ce petit </w:t>
      </w:r>
      <w:r>
        <w:rPr>
          <w:i/>
        </w:rPr>
        <w:t>mot</w:t>
      </w:r>
      <w:r>
        <w:rPr/>
        <w:t>.</w:t>
      </w:r>
    </w:p>
    <w:p>
      <w:pPr>
        <w:pStyle w:val="BodyText"/>
        <w:spacing w:before="1"/>
      </w:pPr>
    </w:p>
    <w:p>
      <w:pPr>
        <w:pStyle w:val="BodyText"/>
        <w:spacing w:before="1"/>
        <w:ind w:left="1132" w:right="984"/>
        <w:jc w:val="both"/>
      </w:pPr>
      <w:r>
        <w:rPr/>
        <w:t>Son œuvre journalistique (collaboration à la revue </w:t>
      </w:r>
      <w:r>
        <w:rPr>
          <w:i/>
        </w:rPr>
        <w:t>Europe</w:t>
      </w:r>
      <w:r>
        <w:rPr/>
        <w:t>) et littéraire (</w:t>
      </w:r>
      <w:r>
        <w:rPr>
          <w:i/>
        </w:rPr>
        <w:t>La tragédie des Temps volages </w:t>
      </w:r>
      <w:r>
        <w:rPr/>
        <w:t>– morceaux choisis publiés en 1955, étude sur le peintre Zarfin en 1963) se continua jusqu’à sa mort, le 11 octobre 1966.</w:t>
      </w:r>
    </w:p>
    <w:p>
      <w:pPr>
        <w:pStyle w:val="BodyText"/>
        <w:spacing w:before="10"/>
        <w:rPr>
          <w:sz w:val="20"/>
        </w:rPr>
      </w:pPr>
    </w:p>
    <w:p>
      <w:pPr>
        <w:pStyle w:val="BodyText"/>
        <w:ind w:left="1132" w:right="987"/>
        <w:jc w:val="both"/>
      </w:pPr>
      <w:r>
        <w:rPr/>
        <w:t>Michel Decaudin, professeur émérite de lettres à la Sorbonne le décrivait : « Tiraillé entre l’ironie et l’attendrissement, la mélancolie et la confiance en l’avenir […] Henri Hertz est au carrefour des incertitudes et des espérances de la poésie moderne. »</w:t>
      </w:r>
    </w:p>
    <w:p>
      <w:pPr>
        <w:pStyle w:val="BodyText"/>
        <w:spacing w:before="1"/>
        <w:ind w:left="1132" w:right="985"/>
        <w:jc w:val="both"/>
      </w:pPr>
      <w:r>
        <w:rPr/>
        <w:t>Robert Sabatier, de l’Académie Goncourt, dans son </w:t>
      </w:r>
      <w:r>
        <w:rPr>
          <w:i/>
        </w:rPr>
        <w:t>Histoire de la poésie française- La poésie du XX</w:t>
      </w:r>
      <w:r>
        <w:rPr>
          <w:i/>
          <w:vertAlign w:val="superscript"/>
        </w:rPr>
        <w:t>e</w:t>
      </w:r>
      <w:r>
        <w:rPr>
          <w:i/>
          <w:vertAlign w:val="baseline"/>
        </w:rPr>
        <w:t> </w:t>
      </w:r>
      <w:r>
        <w:rPr>
          <w:i/>
          <w:vertAlign w:val="baseline"/>
        </w:rPr>
        <w:t>siècle </w:t>
      </w:r>
      <w:r>
        <w:rPr>
          <w:vertAlign w:val="baseline"/>
        </w:rPr>
        <w:t>en disait : « Mais il y a chez cet homme libre et généreux d’autres aspects : il est un vengeur de l’homme, un destructeur d’impostures, voire un anarchisant apportant sans cesse un message d’amour humain. Sa poésie est parfaitement originale et les témoignages le concernant l’indiquent ».</w:t>
      </w:r>
    </w:p>
    <w:p>
      <w:pPr>
        <w:pStyle w:val="BodyText"/>
        <w:rPr>
          <w:sz w:val="22"/>
        </w:rPr>
      </w:pPr>
    </w:p>
    <w:p>
      <w:pPr>
        <w:pStyle w:val="BodyText"/>
        <w:ind w:left="1132" w:right="985"/>
        <w:jc w:val="both"/>
      </w:pPr>
      <w:r>
        <w:rPr/>
        <w:t>Poète, écrivain, journaliste, Henri Hertz fut le témoin engagé de son époque alliant une plume sarcastique et amère à un esprit ouvert, généreux et libéral, qui sut prendre le parti des faibles et des opprimés contre l’autoritarisme et toutes les formes d’exclusion de la fin du XIX</w:t>
      </w:r>
      <w:r>
        <w:rPr>
          <w:vertAlign w:val="superscript"/>
        </w:rPr>
        <w:t>e</w:t>
      </w:r>
      <w:r>
        <w:rPr>
          <w:vertAlign w:val="baseline"/>
        </w:rPr>
        <w:t> et la première moitié du XX</w:t>
      </w:r>
      <w:r>
        <w:rPr>
          <w:vertAlign w:val="superscript"/>
        </w:rPr>
        <w:t>e</w:t>
      </w:r>
      <w:r>
        <w:rPr>
          <w:spacing w:val="-2"/>
          <w:vertAlign w:val="baseline"/>
        </w:rPr>
        <w:t> </w:t>
      </w:r>
      <w:r>
        <w:rPr>
          <w:vertAlign w:val="baseline"/>
        </w:rPr>
        <w:t>siècle.</w:t>
      </w:r>
    </w:p>
    <w:p>
      <w:pPr>
        <w:spacing w:after="0"/>
        <w:jc w:val="both"/>
        <w:sectPr>
          <w:pgSz w:w="11910" w:h="16840"/>
          <w:pgMar w:top="1320" w:bottom="280" w:left="0" w:right="0"/>
        </w:sectPr>
      </w:pPr>
    </w:p>
    <w:p>
      <w:pPr>
        <w:pStyle w:val="Heading1"/>
        <w:spacing w:before="74"/>
      </w:pPr>
      <w:r>
        <w:rPr/>
        <w:t>Prix Henri Hertz</w:t>
      </w:r>
    </w:p>
    <w:p>
      <w:pPr>
        <w:spacing w:before="2"/>
        <w:ind w:left="1416" w:right="0" w:firstLine="0"/>
        <w:jc w:val="left"/>
        <w:rPr>
          <w:b/>
          <w:sz w:val="28"/>
        </w:rPr>
      </w:pPr>
      <w:r>
        <w:rPr>
          <w:b/>
          <w:sz w:val="28"/>
        </w:rPr>
        <w:t>APPEL À CANDIDATURES 2019</w:t>
      </w:r>
    </w:p>
    <w:p>
      <w:pPr>
        <w:spacing w:before="253"/>
        <w:ind w:left="1416" w:right="1413" w:firstLine="0"/>
        <w:jc w:val="both"/>
        <w:rPr>
          <w:sz w:val="22"/>
        </w:rPr>
      </w:pPr>
      <w:r>
        <w:rPr>
          <w:sz w:val="22"/>
        </w:rPr>
        <w:t>La chancellerie des universités de Paris, dépositaire des traditions de l’ancienne Université de Paris, attribue chaque année, des prix, bourses et subventions provenant de dons ou de legs qui lui ont été consentis.</w:t>
      </w:r>
    </w:p>
    <w:p>
      <w:pPr>
        <w:pStyle w:val="BodyText"/>
        <w:rPr>
          <w:sz w:val="24"/>
        </w:rPr>
      </w:pPr>
    </w:p>
    <w:p>
      <w:pPr>
        <w:pStyle w:val="BodyText"/>
        <w:spacing w:before="9"/>
        <w:rPr>
          <w:sz w:val="19"/>
        </w:rPr>
      </w:pPr>
    </w:p>
    <w:p>
      <w:pPr>
        <w:spacing w:before="0"/>
        <w:ind w:left="1416" w:right="0" w:firstLine="0"/>
        <w:jc w:val="left"/>
        <w:rPr>
          <w:b/>
          <w:sz w:val="24"/>
        </w:rPr>
      </w:pPr>
      <w:r>
        <w:rPr>
          <w:b/>
          <w:color w:val="FF0000"/>
          <w:sz w:val="24"/>
        </w:rPr>
        <w:t>PRÉSENTATION DU PRIX</w:t>
      </w:r>
    </w:p>
    <w:p>
      <w:pPr>
        <w:pStyle w:val="BodyText"/>
        <w:spacing w:before="4"/>
        <w:rPr>
          <w:b/>
          <w:sz w:val="22"/>
        </w:rPr>
      </w:pPr>
    </w:p>
    <w:p>
      <w:pPr>
        <w:spacing w:before="0"/>
        <w:ind w:left="1416" w:right="1411" w:firstLine="0"/>
        <w:jc w:val="both"/>
        <w:rPr>
          <w:sz w:val="22"/>
        </w:rPr>
      </w:pPr>
      <w:r>
        <w:rPr>
          <w:sz w:val="22"/>
        </w:rPr>
        <w:t>La chancellerie des universités de Paris décerne, depuis 1986, le prix Henri Hertz. Il récompense, selon la volonté d’Emma Hertz, veuve de l’écrivain « </w:t>
      </w:r>
      <w:r>
        <w:rPr>
          <w:i/>
          <w:sz w:val="22"/>
        </w:rPr>
        <w:t>la meilleure œuvre qui lui </w:t>
      </w:r>
      <w:r>
        <w:rPr>
          <w:i/>
          <w:sz w:val="22"/>
        </w:rPr>
        <w:t>sera soumise par un étudiant </w:t>
      </w:r>
      <w:r>
        <w:rPr>
          <w:sz w:val="21"/>
        </w:rPr>
        <w:t>[…]</w:t>
      </w:r>
      <w:r>
        <w:rPr>
          <w:i/>
          <w:sz w:val="22"/>
        </w:rPr>
        <w:t>, propre à faire connaître ou comprendre les préoccupations </w:t>
      </w:r>
      <w:r>
        <w:rPr>
          <w:i/>
          <w:sz w:val="22"/>
        </w:rPr>
        <w:t>éthiques et civiques du courant et du milieu auxquels a appartenu Monsieur Henri Hertz, ou à reprendre dans une œuvre de création, les inspirations de ce courant et de ce milieu</w:t>
      </w:r>
      <w:r>
        <w:rPr>
          <w:sz w:val="22"/>
        </w:rPr>
        <w:t>.</w:t>
      </w:r>
      <w:r>
        <w:rPr>
          <w:spacing w:val="-28"/>
          <w:sz w:val="22"/>
        </w:rPr>
        <w:t> </w:t>
      </w:r>
      <w:r>
        <w:rPr>
          <w:sz w:val="22"/>
        </w:rPr>
        <w:t>»</w:t>
      </w:r>
    </w:p>
    <w:p>
      <w:pPr>
        <w:pStyle w:val="BodyText"/>
        <w:spacing w:before="11"/>
      </w:pPr>
    </w:p>
    <w:p>
      <w:pPr>
        <w:spacing w:line="240" w:lineRule="auto" w:before="0"/>
        <w:ind w:left="1416" w:right="1411" w:firstLine="0"/>
        <w:jc w:val="both"/>
        <w:rPr>
          <w:b/>
          <w:sz w:val="22"/>
        </w:rPr>
      </w:pPr>
      <w:r>
        <w:rPr>
          <w:sz w:val="22"/>
        </w:rPr>
        <w:t>Cette référence ne doit pas être interprétée comme impliquant une exclusivité au profit d'une origine, d'une confession ou d'une idéologie déterminée. </w:t>
      </w:r>
      <w:r>
        <w:rPr>
          <w:b/>
          <w:sz w:val="22"/>
        </w:rPr>
        <w:t>Les préoccupations éthiques et civiques chères à Henri Hertz, concernent notamment la lutte contre l’autoritarisme et toutes les formes d’exclusion. La biographie présentée en préambule atteste de ses engagements et de ses talents d’écrivain et de poète.</w:t>
      </w:r>
    </w:p>
    <w:p>
      <w:pPr>
        <w:pStyle w:val="BodyText"/>
        <w:rPr>
          <w:b/>
          <w:sz w:val="24"/>
        </w:rPr>
      </w:pPr>
    </w:p>
    <w:p>
      <w:pPr>
        <w:pStyle w:val="BodyText"/>
        <w:rPr>
          <w:b/>
          <w:sz w:val="20"/>
        </w:rPr>
      </w:pPr>
    </w:p>
    <w:p>
      <w:pPr>
        <w:spacing w:before="0"/>
        <w:ind w:left="1416" w:right="0" w:firstLine="0"/>
        <w:jc w:val="both"/>
        <w:rPr>
          <w:sz w:val="22"/>
        </w:rPr>
      </w:pPr>
      <w:r>
        <w:rPr>
          <w:sz w:val="22"/>
          <w:u w:val="single"/>
        </w:rPr>
        <w:t>Pour l’année 2019, le montant du prix s’élève à 1 500 €.</w:t>
      </w:r>
    </w:p>
    <w:p>
      <w:pPr>
        <w:pStyle w:val="BodyText"/>
        <w:rPr>
          <w:sz w:val="20"/>
        </w:rPr>
      </w:pPr>
    </w:p>
    <w:p>
      <w:pPr>
        <w:pStyle w:val="BodyText"/>
        <w:spacing w:before="10"/>
        <w:rPr>
          <w:sz w:val="17"/>
        </w:rPr>
      </w:pPr>
    </w:p>
    <w:p>
      <w:pPr>
        <w:spacing w:before="92"/>
        <w:ind w:left="1416" w:right="0" w:firstLine="0"/>
        <w:jc w:val="left"/>
        <w:rPr>
          <w:b/>
          <w:sz w:val="24"/>
        </w:rPr>
      </w:pPr>
      <w:r>
        <w:rPr>
          <w:b/>
          <w:color w:val="FF0000"/>
          <w:sz w:val="24"/>
        </w:rPr>
        <w:t>CRITÈRES DE CANDIDATURE</w:t>
      </w:r>
    </w:p>
    <w:p>
      <w:pPr>
        <w:pStyle w:val="BodyText"/>
        <w:spacing w:before="10"/>
        <w:rPr>
          <w:b/>
        </w:rPr>
      </w:pPr>
    </w:p>
    <w:p>
      <w:pPr>
        <w:pStyle w:val="ListParagraph"/>
        <w:numPr>
          <w:ilvl w:val="0"/>
          <w:numId w:val="1"/>
        </w:numPr>
        <w:tabs>
          <w:tab w:pos="1700" w:val="left" w:leader="none"/>
        </w:tabs>
        <w:spacing w:line="240" w:lineRule="auto" w:before="0" w:after="0"/>
        <w:ind w:left="1699" w:right="1414" w:hanging="283"/>
        <w:jc w:val="left"/>
        <w:rPr>
          <w:b/>
          <w:sz w:val="22"/>
        </w:rPr>
      </w:pPr>
      <w:r>
        <w:rPr>
          <w:b/>
          <w:sz w:val="22"/>
        </w:rPr>
        <w:t>Le prix récompense une thèse, dont le propos s’inscrit dans le courant décrit ci- dessus et dont la rédaction originale est en langue</w:t>
      </w:r>
      <w:r>
        <w:rPr>
          <w:b/>
          <w:spacing w:val="-11"/>
          <w:sz w:val="22"/>
        </w:rPr>
        <w:t> </w:t>
      </w:r>
      <w:r>
        <w:rPr>
          <w:b/>
          <w:sz w:val="22"/>
        </w:rPr>
        <w:t>française.</w:t>
      </w:r>
    </w:p>
    <w:p>
      <w:pPr>
        <w:pStyle w:val="BodyText"/>
        <w:spacing w:before="9"/>
        <w:rPr>
          <w:b/>
        </w:rPr>
      </w:pPr>
    </w:p>
    <w:p>
      <w:pPr>
        <w:pStyle w:val="ListParagraph"/>
        <w:numPr>
          <w:ilvl w:val="0"/>
          <w:numId w:val="1"/>
        </w:numPr>
        <w:tabs>
          <w:tab w:pos="1700" w:val="left" w:leader="none"/>
        </w:tabs>
        <w:spacing w:line="240" w:lineRule="auto" w:before="0" w:after="0"/>
        <w:ind w:left="1699" w:right="1410" w:hanging="283"/>
        <w:jc w:val="left"/>
        <w:rPr>
          <w:b/>
          <w:sz w:val="22"/>
        </w:rPr>
      </w:pPr>
      <w:r>
        <w:rPr>
          <w:b/>
          <w:sz w:val="22"/>
        </w:rPr>
        <w:t>Elle devra avoir été soutenue au cours des deux années précédant l’année de la candidature.</w:t>
      </w:r>
    </w:p>
    <w:p>
      <w:pPr>
        <w:pStyle w:val="BodyText"/>
        <w:spacing w:before="2"/>
        <w:rPr>
          <w:b/>
          <w:sz w:val="22"/>
        </w:rPr>
      </w:pPr>
    </w:p>
    <w:p>
      <w:pPr>
        <w:pStyle w:val="ListParagraph"/>
        <w:numPr>
          <w:ilvl w:val="0"/>
          <w:numId w:val="1"/>
        </w:numPr>
        <w:tabs>
          <w:tab w:pos="1700" w:val="left" w:leader="none"/>
        </w:tabs>
        <w:spacing w:line="240" w:lineRule="auto" w:before="0" w:after="0"/>
        <w:ind w:left="1699" w:right="0" w:hanging="283"/>
        <w:jc w:val="left"/>
        <w:rPr>
          <w:sz w:val="22"/>
        </w:rPr>
      </w:pPr>
      <w:r>
        <w:rPr>
          <w:sz w:val="22"/>
        </w:rPr>
        <w:t>Aucune condition d’âge ou de nationalité n’est</w:t>
      </w:r>
      <w:r>
        <w:rPr>
          <w:spacing w:val="-5"/>
          <w:sz w:val="22"/>
        </w:rPr>
        <w:t> </w:t>
      </w:r>
      <w:r>
        <w:rPr>
          <w:sz w:val="22"/>
        </w:rPr>
        <w:t>exigée.</w:t>
      </w:r>
    </w:p>
    <w:p>
      <w:pPr>
        <w:pStyle w:val="BodyText"/>
        <w:spacing w:before="8"/>
      </w:pPr>
    </w:p>
    <w:p>
      <w:pPr>
        <w:spacing w:before="0"/>
        <w:ind w:left="1416" w:right="1578" w:firstLine="0"/>
        <w:jc w:val="left"/>
        <w:rPr>
          <w:b/>
          <w:sz w:val="22"/>
        </w:rPr>
      </w:pPr>
      <w:r>
        <w:rPr>
          <w:b/>
          <w:sz w:val="22"/>
        </w:rPr>
        <w:t>Les candidatures sont obligatoirement présentées par le biais des 12 universités suivantes :</w:t>
      </w:r>
    </w:p>
    <w:p>
      <w:pPr>
        <w:pStyle w:val="BodyText"/>
        <w:spacing w:before="8"/>
        <w:rPr>
          <w:b/>
          <w:sz w:val="22"/>
        </w:rPr>
      </w:pPr>
    </w:p>
    <w:tbl>
      <w:tblPr>
        <w:tblW w:w="0" w:type="auto"/>
        <w:jc w:val="left"/>
        <w:tblInd w:w="1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2"/>
        <w:gridCol w:w="4775"/>
      </w:tblGrid>
      <w:tr>
        <w:trPr>
          <w:trHeight w:val="249" w:hRule="atLeast"/>
        </w:trPr>
        <w:tc>
          <w:tcPr>
            <w:tcW w:w="4542" w:type="dxa"/>
          </w:tcPr>
          <w:p>
            <w:pPr>
              <w:pStyle w:val="TableParagraph"/>
              <w:numPr>
                <w:ilvl w:val="0"/>
                <w:numId w:val="2"/>
              </w:numPr>
              <w:tabs>
                <w:tab w:pos="484" w:val="left" w:leader="none"/>
              </w:tabs>
              <w:spacing w:line="229" w:lineRule="exact" w:before="0" w:after="0"/>
              <w:ind w:left="483" w:right="0" w:hanging="283"/>
              <w:jc w:val="left"/>
              <w:rPr>
                <w:sz w:val="22"/>
              </w:rPr>
            </w:pPr>
            <w:r>
              <w:rPr>
                <w:sz w:val="22"/>
              </w:rPr>
              <w:t>Université Paris 1</w:t>
            </w:r>
            <w:r>
              <w:rPr>
                <w:spacing w:val="-1"/>
                <w:sz w:val="22"/>
              </w:rPr>
              <w:t> </w:t>
            </w:r>
            <w:r>
              <w:rPr>
                <w:sz w:val="22"/>
              </w:rPr>
              <w:t>Panthéon-Sorbonne</w:t>
            </w:r>
          </w:p>
        </w:tc>
        <w:tc>
          <w:tcPr>
            <w:tcW w:w="4775" w:type="dxa"/>
          </w:tcPr>
          <w:p>
            <w:pPr>
              <w:pStyle w:val="TableParagraph"/>
              <w:numPr>
                <w:ilvl w:val="0"/>
                <w:numId w:val="3"/>
              </w:numPr>
              <w:tabs>
                <w:tab w:pos="550" w:val="left" w:leader="none"/>
              </w:tabs>
              <w:spacing w:line="229" w:lineRule="exact" w:before="0" w:after="0"/>
              <w:ind w:left="549" w:right="0" w:hanging="283"/>
              <w:jc w:val="left"/>
              <w:rPr>
                <w:sz w:val="22"/>
              </w:rPr>
            </w:pPr>
            <w:r>
              <w:rPr>
                <w:sz w:val="22"/>
              </w:rPr>
              <w:t>Université Paris 8</w:t>
            </w:r>
            <w:r>
              <w:rPr>
                <w:spacing w:val="-3"/>
                <w:sz w:val="22"/>
              </w:rPr>
              <w:t> </w:t>
            </w:r>
            <w:r>
              <w:rPr>
                <w:sz w:val="22"/>
              </w:rPr>
              <w:t>Vincennes-Saint-Denis</w:t>
            </w:r>
          </w:p>
        </w:tc>
      </w:tr>
      <w:tr>
        <w:trPr>
          <w:trHeight w:val="253" w:hRule="atLeast"/>
        </w:trPr>
        <w:tc>
          <w:tcPr>
            <w:tcW w:w="4542" w:type="dxa"/>
          </w:tcPr>
          <w:p>
            <w:pPr>
              <w:pStyle w:val="TableParagraph"/>
              <w:numPr>
                <w:ilvl w:val="0"/>
                <w:numId w:val="4"/>
              </w:numPr>
              <w:tabs>
                <w:tab w:pos="484" w:val="left" w:leader="none"/>
              </w:tabs>
              <w:spacing w:line="233" w:lineRule="exact" w:before="0" w:after="0"/>
              <w:ind w:left="483" w:right="0" w:hanging="283"/>
              <w:jc w:val="left"/>
              <w:rPr>
                <w:sz w:val="22"/>
              </w:rPr>
            </w:pPr>
            <w:r>
              <w:rPr>
                <w:sz w:val="22"/>
              </w:rPr>
              <w:t>Université Paris 2 Panthéon-Assas</w:t>
            </w:r>
          </w:p>
        </w:tc>
        <w:tc>
          <w:tcPr>
            <w:tcW w:w="4775" w:type="dxa"/>
          </w:tcPr>
          <w:p>
            <w:pPr>
              <w:pStyle w:val="TableParagraph"/>
              <w:numPr>
                <w:ilvl w:val="0"/>
                <w:numId w:val="5"/>
              </w:numPr>
              <w:tabs>
                <w:tab w:pos="550" w:val="left" w:leader="none"/>
              </w:tabs>
              <w:spacing w:line="233" w:lineRule="exact" w:before="0" w:after="0"/>
              <w:ind w:left="549" w:right="0" w:hanging="283"/>
              <w:jc w:val="left"/>
              <w:rPr>
                <w:sz w:val="22"/>
              </w:rPr>
            </w:pPr>
            <w:r>
              <w:rPr>
                <w:sz w:val="22"/>
              </w:rPr>
              <w:t>Université Paris-Dauphine</w:t>
            </w:r>
          </w:p>
        </w:tc>
      </w:tr>
      <w:tr>
        <w:trPr>
          <w:trHeight w:val="253" w:hRule="atLeast"/>
        </w:trPr>
        <w:tc>
          <w:tcPr>
            <w:tcW w:w="4542" w:type="dxa"/>
          </w:tcPr>
          <w:p>
            <w:pPr>
              <w:pStyle w:val="TableParagraph"/>
              <w:numPr>
                <w:ilvl w:val="0"/>
                <w:numId w:val="6"/>
              </w:numPr>
              <w:tabs>
                <w:tab w:pos="484" w:val="left" w:leader="none"/>
              </w:tabs>
              <w:spacing w:line="233" w:lineRule="exact" w:before="0" w:after="0"/>
              <w:ind w:left="483" w:right="0" w:hanging="283"/>
              <w:jc w:val="left"/>
              <w:rPr>
                <w:sz w:val="22"/>
              </w:rPr>
            </w:pPr>
            <w:r>
              <w:rPr>
                <w:sz w:val="22"/>
              </w:rPr>
              <w:t>Université Sorbonne Nouvelle - Paris</w:t>
            </w:r>
            <w:r>
              <w:rPr>
                <w:spacing w:val="-1"/>
                <w:sz w:val="22"/>
              </w:rPr>
              <w:t> </w:t>
            </w:r>
            <w:r>
              <w:rPr>
                <w:sz w:val="22"/>
              </w:rPr>
              <w:t>3</w:t>
            </w:r>
          </w:p>
        </w:tc>
        <w:tc>
          <w:tcPr>
            <w:tcW w:w="4775" w:type="dxa"/>
          </w:tcPr>
          <w:p>
            <w:pPr>
              <w:pStyle w:val="TableParagraph"/>
              <w:numPr>
                <w:ilvl w:val="0"/>
                <w:numId w:val="7"/>
              </w:numPr>
              <w:tabs>
                <w:tab w:pos="550" w:val="left" w:leader="none"/>
              </w:tabs>
              <w:spacing w:line="233" w:lineRule="exact" w:before="0" w:after="0"/>
              <w:ind w:left="549" w:right="0" w:hanging="283"/>
              <w:jc w:val="left"/>
              <w:rPr>
                <w:sz w:val="22"/>
              </w:rPr>
            </w:pPr>
            <w:r>
              <w:rPr>
                <w:sz w:val="22"/>
              </w:rPr>
              <w:t>Université Paris Nanterre</w:t>
            </w:r>
          </w:p>
        </w:tc>
      </w:tr>
      <w:tr>
        <w:trPr>
          <w:trHeight w:val="253" w:hRule="atLeast"/>
        </w:trPr>
        <w:tc>
          <w:tcPr>
            <w:tcW w:w="4542" w:type="dxa"/>
          </w:tcPr>
          <w:p>
            <w:pPr>
              <w:pStyle w:val="TableParagraph"/>
              <w:numPr>
                <w:ilvl w:val="0"/>
                <w:numId w:val="8"/>
              </w:numPr>
              <w:tabs>
                <w:tab w:pos="484" w:val="left" w:leader="none"/>
              </w:tabs>
              <w:spacing w:line="233" w:lineRule="exact" w:before="0" w:after="0"/>
              <w:ind w:left="483" w:right="0" w:hanging="283"/>
              <w:jc w:val="left"/>
              <w:rPr>
                <w:sz w:val="22"/>
              </w:rPr>
            </w:pPr>
            <w:r>
              <w:rPr>
                <w:sz w:val="22"/>
              </w:rPr>
              <w:t>Sorbonne</w:t>
            </w:r>
            <w:r>
              <w:rPr>
                <w:spacing w:val="-1"/>
                <w:sz w:val="22"/>
              </w:rPr>
              <w:t> </w:t>
            </w:r>
            <w:r>
              <w:rPr>
                <w:sz w:val="22"/>
              </w:rPr>
              <w:t>Université</w:t>
            </w:r>
          </w:p>
        </w:tc>
        <w:tc>
          <w:tcPr>
            <w:tcW w:w="4775" w:type="dxa"/>
          </w:tcPr>
          <w:p>
            <w:pPr>
              <w:pStyle w:val="TableParagraph"/>
              <w:numPr>
                <w:ilvl w:val="0"/>
                <w:numId w:val="9"/>
              </w:numPr>
              <w:tabs>
                <w:tab w:pos="550" w:val="left" w:leader="none"/>
              </w:tabs>
              <w:spacing w:line="233" w:lineRule="exact" w:before="0" w:after="0"/>
              <w:ind w:left="549" w:right="0" w:hanging="283"/>
              <w:jc w:val="left"/>
              <w:rPr>
                <w:sz w:val="22"/>
              </w:rPr>
            </w:pPr>
            <w:r>
              <w:rPr>
                <w:sz w:val="22"/>
              </w:rPr>
              <w:t>Université Paris-Sud</w:t>
            </w:r>
          </w:p>
        </w:tc>
      </w:tr>
      <w:tr>
        <w:trPr>
          <w:trHeight w:val="253" w:hRule="atLeast"/>
        </w:trPr>
        <w:tc>
          <w:tcPr>
            <w:tcW w:w="4542" w:type="dxa"/>
          </w:tcPr>
          <w:p>
            <w:pPr>
              <w:pStyle w:val="TableParagraph"/>
              <w:numPr>
                <w:ilvl w:val="0"/>
                <w:numId w:val="10"/>
              </w:numPr>
              <w:tabs>
                <w:tab w:pos="484" w:val="left" w:leader="none"/>
              </w:tabs>
              <w:spacing w:line="233" w:lineRule="exact" w:before="0" w:after="0"/>
              <w:ind w:left="483" w:right="0" w:hanging="283"/>
              <w:jc w:val="left"/>
              <w:rPr>
                <w:sz w:val="22"/>
              </w:rPr>
            </w:pPr>
            <w:r>
              <w:rPr>
                <w:sz w:val="22"/>
              </w:rPr>
              <w:t>Université Paris Descartes</w:t>
            </w:r>
          </w:p>
        </w:tc>
        <w:tc>
          <w:tcPr>
            <w:tcW w:w="4775" w:type="dxa"/>
          </w:tcPr>
          <w:p>
            <w:pPr>
              <w:pStyle w:val="TableParagraph"/>
              <w:numPr>
                <w:ilvl w:val="0"/>
                <w:numId w:val="11"/>
              </w:numPr>
              <w:tabs>
                <w:tab w:pos="550" w:val="left" w:leader="none"/>
              </w:tabs>
              <w:spacing w:line="233" w:lineRule="exact" w:before="0" w:after="0"/>
              <w:ind w:left="549" w:right="0" w:hanging="283"/>
              <w:jc w:val="left"/>
              <w:rPr>
                <w:sz w:val="22"/>
              </w:rPr>
            </w:pPr>
            <w:r>
              <w:rPr>
                <w:sz w:val="22"/>
              </w:rPr>
              <w:t>Université Paris-Est Créteil</w:t>
            </w:r>
            <w:r>
              <w:rPr>
                <w:spacing w:val="-4"/>
                <w:sz w:val="22"/>
              </w:rPr>
              <w:t> </w:t>
            </w:r>
            <w:r>
              <w:rPr>
                <w:sz w:val="22"/>
              </w:rPr>
              <w:t>Val-de-Marne</w:t>
            </w:r>
          </w:p>
        </w:tc>
      </w:tr>
      <w:tr>
        <w:trPr>
          <w:trHeight w:val="249" w:hRule="atLeast"/>
        </w:trPr>
        <w:tc>
          <w:tcPr>
            <w:tcW w:w="4542" w:type="dxa"/>
          </w:tcPr>
          <w:p>
            <w:pPr>
              <w:pStyle w:val="TableParagraph"/>
              <w:numPr>
                <w:ilvl w:val="0"/>
                <w:numId w:val="12"/>
              </w:numPr>
              <w:tabs>
                <w:tab w:pos="484" w:val="left" w:leader="none"/>
              </w:tabs>
              <w:spacing w:line="229" w:lineRule="exact" w:before="0" w:after="0"/>
              <w:ind w:left="483" w:right="0" w:hanging="283"/>
              <w:jc w:val="left"/>
              <w:rPr>
                <w:sz w:val="22"/>
              </w:rPr>
            </w:pPr>
            <w:r>
              <w:rPr>
                <w:sz w:val="22"/>
              </w:rPr>
              <w:t>Université Paris Diderot</w:t>
            </w:r>
          </w:p>
        </w:tc>
        <w:tc>
          <w:tcPr>
            <w:tcW w:w="4775" w:type="dxa"/>
          </w:tcPr>
          <w:p>
            <w:pPr>
              <w:pStyle w:val="TableParagraph"/>
              <w:numPr>
                <w:ilvl w:val="0"/>
                <w:numId w:val="13"/>
              </w:numPr>
              <w:tabs>
                <w:tab w:pos="550" w:val="left" w:leader="none"/>
              </w:tabs>
              <w:spacing w:line="229" w:lineRule="exact" w:before="0" w:after="0"/>
              <w:ind w:left="549" w:right="0" w:hanging="283"/>
              <w:jc w:val="left"/>
              <w:rPr>
                <w:sz w:val="22"/>
              </w:rPr>
            </w:pPr>
            <w:r>
              <w:rPr>
                <w:sz w:val="22"/>
              </w:rPr>
              <w:t>Université Paris 13</w:t>
            </w:r>
          </w:p>
        </w:tc>
      </w:tr>
    </w:tbl>
    <w:p>
      <w:pPr>
        <w:pStyle w:val="BodyText"/>
        <w:spacing w:before="9"/>
        <w:rPr>
          <w:b/>
        </w:rPr>
      </w:pPr>
    </w:p>
    <w:p>
      <w:pPr>
        <w:pStyle w:val="ListParagraph"/>
        <w:numPr>
          <w:ilvl w:val="0"/>
          <w:numId w:val="1"/>
        </w:numPr>
        <w:tabs>
          <w:tab w:pos="1700" w:val="left" w:leader="none"/>
        </w:tabs>
        <w:spacing w:line="240" w:lineRule="auto" w:before="0" w:after="0"/>
        <w:ind w:left="1699" w:right="0" w:hanging="283"/>
        <w:jc w:val="left"/>
        <w:rPr>
          <w:b/>
          <w:sz w:val="22"/>
        </w:rPr>
      </w:pPr>
      <w:r>
        <w:rPr>
          <w:b/>
          <w:sz w:val="22"/>
        </w:rPr>
        <w:t>Chaque université pourra présenter, au maximum, trois</w:t>
      </w:r>
      <w:r>
        <w:rPr>
          <w:b/>
          <w:spacing w:val="-7"/>
          <w:sz w:val="22"/>
        </w:rPr>
        <w:t> </w:t>
      </w:r>
      <w:r>
        <w:rPr>
          <w:b/>
          <w:sz w:val="22"/>
        </w:rPr>
        <w:t>candidatures.</w:t>
      </w:r>
    </w:p>
    <w:p>
      <w:pPr>
        <w:pStyle w:val="BodyText"/>
        <w:spacing w:before="5"/>
        <w:rPr>
          <w:b/>
          <w:sz w:val="25"/>
        </w:rPr>
      </w:pPr>
    </w:p>
    <w:p>
      <w:pPr>
        <w:pStyle w:val="ListParagraph"/>
        <w:numPr>
          <w:ilvl w:val="0"/>
          <w:numId w:val="1"/>
        </w:numPr>
        <w:tabs>
          <w:tab w:pos="1700" w:val="left" w:leader="none"/>
        </w:tabs>
        <w:spacing w:line="240" w:lineRule="auto" w:before="0" w:after="0"/>
        <w:ind w:left="1699" w:right="0" w:hanging="283"/>
        <w:jc w:val="left"/>
        <w:rPr>
          <w:sz w:val="22"/>
        </w:rPr>
      </w:pPr>
      <w:r>
        <w:rPr>
          <w:sz w:val="22"/>
        </w:rPr>
        <w:t>Aucune candidature directe d’un étudiant auprès de la chancellerie ne sera</w:t>
      </w:r>
      <w:r>
        <w:rPr>
          <w:spacing w:val="-10"/>
          <w:sz w:val="22"/>
        </w:rPr>
        <w:t> </w:t>
      </w:r>
      <w:r>
        <w:rPr>
          <w:sz w:val="22"/>
        </w:rPr>
        <w:t>acceptée.</w:t>
      </w:r>
    </w:p>
    <w:p>
      <w:pPr>
        <w:pStyle w:val="BodyText"/>
        <w:spacing w:before="4"/>
        <w:rPr>
          <w:sz w:val="25"/>
        </w:rPr>
      </w:pPr>
    </w:p>
    <w:p>
      <w:pPr>
        <w:pStyle w:val="ListParagraph"/>
        <w:numPr>
          <w:ilvl w:val="0"/>
          <w:numId w:val="1"/>
        </w:numPr>
        <w:tabs>
          <w:tab w:pos="1700" w:val="left" w:leader="none"/>
        </w:tabs>
        <w:spacing w:line="237" w:lineRule="auto" w:before="0" w:after="0"/>
        <w:ind w:left="1699" w:right="1421" w:hanging="283"/>
        <w:jc w:val="left"/>
        <w:rPr>
          <w:sz w:val="22"/>
        </w:rPr>
      </w:pPr>
      <w:r>
        <w:rPr>
          <w:sz w:val="22"/>
        </w:rPr>
        <w:t>Chaque thèse ne peut faire l’objet que d’une seule candidature au prix Henri Hertz, toutes années</w:t>
      </w:r>
      <w:r>
        <w:rPr>
          <w:spacing w:val="-1"/>
          <w:sz w:val="22"/>
        </w:rPr>
        <w:t> </w:t>
      </w:r>
      <w:r>
        <w:rPr>
          <w:sz w:val="22"/>
        </w:rPr>
        <w:t>confondues.</w:t>
      </w:r>
    </w:p>
    <w:p>
      <w:pPr>
        <w:spacing w:after="0" w:line="237" w:lineRule="auto"/>
        <w:jc w:val="left"/>
        <w:rPr>
          <w:sz w:val="22"/>
        </w:rPr>
        <w:sectPr>
          <w:pgSz w:w="11910" w:h="16840"/>
          <w:pgMar w:top="1320" w:bottom="280" w:left="0" w:right="0"/>
        </w:sectPr>
      </w:pPr>
    </w:p>
    <w:p>
      <w:pPr>
        <w:spacing w:before="75"/>
        <w:ind w:left="1416" w:right="0" w:firstLine="0"/>
        <w:jc w:val="left"/>
        <w:rPr>
          <w:b/>
          <w:sz w:val="24"/>
        </w:rPr>
      </w:pPr>
      <w:r>
        <w:rPr>
          <w:b/>
          <w:color w:val="FF0000"/>
          <w:sz w:val="24"/>
        </w:rPr>
        <w:t>CONSTITUTION DES DOSSIERS DE CANDIDATURE</w:t>
      </w:r>
    </w:p>
    <w:p>
      <w:pPr>
        <w:pStyle w:val="BodyText"/>
        <w:spacing w:before="1"/>
        <w:rPr>
          <w:b/>
        </w:rPr>
      </w:pPr>
    </w:p>
    <w:p>
      <w:pPr>
        <w:spacing w:before="0"/>
        <w:ind w:left="1416" w:right="1578" w:firstLine="0"/>
        <w:jc w:val="left"/>
        <w:rPr>
          <w:sz w:val="22"/>
        </w:rPr>
      </w:pPr>
      <w:r>
        <w:rPr>
          <w:sz w:val="22"/>
        </w:rPr>
        <w:t>L’université adressera, en </w:t>
      </w:r>
      <w:r>
        <w:rPr>
          <w:sz w:val="22"/>
          <w:u w:val="single"/>
        </w:rPr>
        <w:t>7 exemplaires imprimés</w:t>
      </w:r>
      <w:r>
        <w:rPr>
          <w:sz w:val="22"/>
        </w:rPr>
        <w:t>, un dossier de candidature</w:t>
      </w:r>
      <w:r>
        <w:rPr>
          <w:sz w:val="22"/>
          <w:vertAlign w:val="superscript"/>
        </w:rPr>
        <w:t>1</w:t>
      </w:r>
      <w:r>
        <w:rPr>
          <w:sz w:val="22"/>
          <w:vertAlign w:val="baseline"/>
        </w:rPr>
        <w:t> comprenant les éléments suivants :</w:t>
      </w:r>
    </w:p>
    <w:p>
      <w:pPr>
        <w:pStyle w:val="ListParagraph"/>
        <w:numPr>
          <w:ilvl w:val="1"/>
          <w:numId w:val="1"/>
        </w:numPr>
        <w:tabs>
          <w:tab w:pos="2136" w:val="left" w:leader="none"/>
          <w:tab w:pos="2137" w:val="left" w:leader="none"/>
        </w:tabs>
        <w:spacing w:line="252" w:lineRule="exact" w:before="1" w:after="0"/>
        <w:ind w:left="2136" w:right="0" w:hanging="360"/>
        <w:jc w:val="left"/>
        <w:rPr>
          <w:sz w:val="22"/>
        </w:rPr>
      </w:pPr>
      <w:r>
        <w:rPr>
          <w:sz w:val="22"/>
        </w:rPr>
        <w:t>une lettre de candidature (2 pages maximum)</w:t>
      </w:r>
      <w:r>
        <w:rPr>
          <w:spacing w:val="-7"/>
          <w:sz w:val="22"/>
        </w:rPr>
        <w:t> </w:t>
      </w:r>
      <w:r>
        <w:rPr>
          <w:sz w:val="22"/>
        </w:rPr>
        <w:t>;</w:t>
      </w:r>
    </w:p>
    <w:p>
      <w:pPr>
        <w:pStyle w:val="ListParagraph"/>
        <w:numPr>
          <w:ilvl w:val="1"/>
          <w:numId w:val="1"/>
        </w:numPr>
        <w:tabs>
          <w:tab w:pos="2136" w:val="left" w:leader="none"/>
          <w:tab w:pos="2137" w:val="left" w:leader="none"/>
        </w:tabs>
        <w:spacing w:line="252" w:lineRule="exact" w:before="0" w:after="0"/>
        <w:ind w:left="2136" w:right="0" w:hanging="360"/>
        <w:jc w:val="left"/>
        <w:rPr>
          <w:sz w:val="22"/>
        </w:rPr>
      </w:pPr>
      <w:r>
        <w:rPr>
          <w:sz w:val="22"/>
        </w:rPr>
        <w:t>un curriculum vitae (avec coordonnées postales, électroniques et téléphoniques)</w:t>
      </w:r>
      <w:r>
        <w:rPr>
          <w:spacing w:val="-10"/>
          <w:sz w:val="22"/>
        </w:rPr>
        <w:t> </w:t>
      </w:r>
      <w:r>
        <w:rPr>
          <w:sz w:val="22"/>
        </w:rPr>
        <w:t>;</w:t>
      </w:r>
    </w:p>
    <w:p>
      <w:pPr>
        <w:pStyle w:val="ListParagraph"/>
        <w:numPr>
          <w:ilvl w:val="1"/>
          <w:numId w:val="1"/>
        </w:numPr>
        <w:tabs>
          <w:tab w:pos="2136" w:val="left" w:leader="none"/>
          <w:tab w:pos="2137" w:val="left" w:leader="none"/>
        </w:tabs>
        <w:spacing w:line="252" w:lineRule="exact" w:before="1" w:after="0"/>
        <w:ind w:left="2136" w:right="0" w:hanging="360"/>
        <w:jc w:val="left"/>
        <w:rPr>
          <w:sz w:val="22"/>
        </w:rPr>
      </w:pPr>
      <w:r>
        <w:rPr>
          <w:sz w:val="22"/>
        </w:rPr>
        <w:t>un résumé imprimé de la thèse (une vingtaine de pages)</w:t>
      </w:r>
      <w:r>
        <w:rPr>
          <w:spacing w:val="-11"/>
          <w:sz w:val="22"/>
        </w:rPr>
        <w:t> </w:t>
      </w:r>
      <w:r>
        <w:rPr>
          <w:sz w:val="22"/>
        </w:rPr>
        <w:t>;</w:t>
      </w:r>
    </w:p>
    <w:p>
      <w:pPr>
        <w:pStyle w:val="ListParagraph"/>
        <w:numPr>
          <w:ilvl w:val="1"/>
          <w:numId w:val="1"/>
        </w:numPr>
        <w:tabs>
          <w:tab w:pos="2136" w:val="left" w:leader="none"/>
          <w:tab w:pos="2137" w:val="left" w:leader="none"/>
        </w:tabs>
        <w:spacing w:line="240" w:lineRule="auto" w:before="0" w:after="0"/>
        <w:ind w:left="2136" w:right="1420" w:hanging="360"/>
        <w:jc w:val="left"/>
        <w:rPr>
          <w:sz w:val="22"/>
        </w:rPr>
      </w:pPr>
      <w:r>
        <w:rPr>
          <w:sz w:val="22"/>
        </w:rPr>
        <w:t>la fiche d’inscription dûment complétée téléchargeable sur le site internet de la Sorbonne :</w:t>
      </w:r>
      <w:r>
        <w:rPr>
          <w:spacing w:val="-1"/>
          <w:sz w:val="22"/>
        </w:rPr>
        <w:t> </w:t>
      </w:r>
      <w:r>
        <w:rPr>
          <w:sz w:val="22"/>
        </w:rPr>
        <w:t>sorbonne.fr.</w:t>
      </w:r>
    </w:p>
    <w:p>
      <w:pPr>
        <w:pStyle w:val="BodyText"/>
        <w:spacing w:before="10"/>
      </w:pPr>
    </w:p>
    <w:p>
      <w:pPr>
        <w:spacing w:before="1"/>
        <w:ind w:left="1416" w:right="0" w:firstLine="0"/>
        <w:jc w:val="left"/>
        <w:rPr>
          <w:sz w:val="22"/>
        </w:rPr>
      </w:pPr>
      <w:r>
        <w:rPr>
          <w:sz w:val="22"/>
        </w:rPr>
        <w:t>Et 1 clé USB contenant :</w:t>
      </w:r>
    </w:p>
    <w:p>
      <w:pPr>
        <w:pStyle w:val="ListParagraph"/>
        <w:numPr>
          <w:ilvl w:val="1"/>
          <w:numId w:val="1"/>
        </w:numPr>
        <w:tabs>
          <w:tab w:pos="2136" w:val="left" w:leader="none"/>
          <w:tab w:pos="2137" w:val="left" w:leader="none"/>
        </w:tabs>
        <w:spacing w:line="252" w:lineRule="exact" w:before="1" w:after="0"/>
        <w:ind w:left="2136" w:right="0" w:hanging="360"/>
        <w:jc w:val="left"/>
        <w:rPr>
          <w:sz w:val="22"/>
        </w:rPr>
      </w:pPr>
      <w:r>
        <w:rPr>
          <w:sz w:val="22"/>
        </w:rPr>
        <w:t>un exemplaire de l’intégralité de la thèse</w:t>
      </w:r>
      <w:r>
        <w:rPr>
          <w:spacing w:val="-3"/>
          <w:sz w:val="22"/>
        </w:rPr>
        <w:t> </w:t>
      </w:r>
      <w:r>
        <w:rPr>
          <w:sz w:val="22"/>
        </w:rPr>
        <w:t>;</w:t>
      </w:r>
    </w:p>
    <w:p>
      <w:pPr>
        <w:pStyle w:val="ListParagraph"/>
        <w:numPr>
          <w:ilvl w:val="1"/>
          <w:numId w:val="1"/>
        </w:numPr>
        <w:tabs>
          <w:tab w:pos="2136" w:val="left" w:leader="none"/>
          <w:tab w:pos="2137" w:val="left" w:leader="none"/>
        </w:tabs>
        <w:spacing w:line="240" w:lineRule="auto" w:before="0" w:after="0"/>
        <w:ind w:left="2136" w:right="1416" w:hanging="360"/>
        <w:jc w:val="left"/>
        <w:rPr>
          <w:sz w:val="22"/>
        </w:rPr>
      </w:pPr>
      <w:r>
        <w:rPr>
          <w:sz w:val="22"/>
        </w:rPr>
        <w:t>un exemplaire du rapport de thèse, avec l’avis du directeur de thèse et éventuellement celui de deux (maximum) autres membres du jury</w:t>
      </w:r>
      <w:r>
        <w:rPr>
          <w:spacing w:val="-9"/>
          <w:sz w:val="22"/>
        </w:rPr>
        <w:t> </w:t>
      </w:r>
      <w:r>
        <w:rPr>
          <w:sz w:val="22"/>
        </w:rPr>
        <w:t>;</w:t>
      </w:r>
    </w:p>
    <w:p>
      <w:pPr>
        <w:pStyle w:val="ListParagraph"/>
        <w:numPr>
          <w:ilvl w:val="1"/>
          <w:numId w:val="1"/>
        </w:numPr>
        <w:tabs>
          <w:tab w:pos="2136" w:val="left" w:leader="none"/>
          <w:tab w:pos="2137" w:val="left" w:leader="none"/>
        </w:tabs>
        <w:spacing w:line="240" w:lineRule="auto" w:before="0" w:after="0"/>
        <w:ind w:left="2136" w:right="0" w:hanging="360"/>
        <w:jc w:val="left"/>
        <w:rPr>
          <w:sz w:val="22"/>
        </w:rPr>
      </w:pPr>
      <w:r>
        <w:rPr>
          <w:sz w:val="22"/>
        </w:rPr>
        <w:t>tous les autres documents du dossier au format</w:t>
      </w:r>
      <w:r>
        <w:rPr>
          <w:spacing w:val="-4"/>
          <w:sz w:val="22"/>
        </w:rPr>
        <w:t> </w:t>
      </w:r>
      <w:r>
        <w:rPr>
          <w:sz w:val="22"/>
        </w:rPr>
        <w:t>numérique.</w:t>
      </w:r>
    </w:p>
    <w:p>
      <w:pPr>
        <w:pStyle w:val="BodyText"/>
        <w:spacing w:before="1"/>
        <w:rPr>
          <w:sz w:val="22"/>
        </w:rPr>
      </w:pPr>
    </w:p>
    <w:p>
      <w:pPr>
        <w:spacing w:before="0"/>
        <w:ind w:left="1416" w:right="1411" w:firstLine="0"/>
        <w:jc w:val="both"/>
        <w:rPr>
          <w:sz w:val="22"/>
        </w:rPr>
      </w:pPr>
      <w:r>
        <w:rPr>
          <w:sz w:val="22"/>
        </w:rPr>
        <w:t>Chaque université sera chargée de collecter et vérifier les dossiers de candidatures avant livraison à la chancellerie. Les dossiers devront être accompagnés d’un tableau récapitulatif, réalisé par l’établissement, selon le modèle ci-dessous. Tout dossier incomplet ne sera pas présenté au jury.</w:t>
      </w:r>
    </w:p>
    <w:p>
      <w:pPr>
        <w:pStyle w:val="BodyText"/>
        <w:spacing w:before="6"/>
        <w:rPr>
          <w:sz w:val="25"/>
        </w:rPr>
      </w:pPr>
    </w:p>
    <w:tbl>
      <w:tblPr>
        <w:tblW w:w="0" w:type="auto"/>
        <w:jc w:val="left"/>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1277"/>
        <w:gridCol w:w="1165"/>
        <w:gridCol w:w="1707"/>
        <w:gridCol w:w="1351"/>
        <w:gridCol w:w="1243"/>
        <w:gridCol w:w="1304"/>
      </w:tblGrid>
      <w:tr>
        <w:trPr>
          <w:trHeight w:val="870" w:hRule="atLeast"/>
        </w:trPr>
        <w:tc>
          <w:tcPr>
            <w:tcW w:w="1244" w:type="dxa"/>
            <w:shd w:val="clear" w:color="auto" w:fill="8DB3E1"/>
          </w:tcPr>
          <w:p>
            <w:pPr>
              <w:pStyle w:val="TableParagraph"/>
              <w:spacing w:before="9"/>
              <w:rPr>
                <w:sz w:val="24"/>
              </w:rPr>
            </w:pPr>
          </w:p>
          <w:p>
            <w:pPr>
              <w:pStyle w:val="TableParagraph"/>
              <w:ind w:left="259"/>
              <w:rPr>
                <w:b/>
                <w:sz w:val="22"/>
              </w:rPr>
            </w:pPr>
            <w:r>
              <w:rPr>
                <w:b/>
                <w:sz w:val="22"/>
              </w:rPr>
              <w:t>Civilité</w:t>
            </w:r>
          </w:p>
        </w:tc>
        <w:tc>
          <w:tcPr>
            <w:tcW w:w="1277" w:type="dxa"/>
            <w:shd w:val="clear" w:color="auto" w:fill="8DB3E1"/>
          </w:tcPr>
          <w:p>
            <w:pPr>
              <w:pStyle w:val="TableParagraph"/>
              <w:spacing w:before="9"/>
              <w:rPr>
                <w:sz w:val="24"/>
              </w:rPr>
            </w:pPr>
          </w:p>
          <w:p>
            <w:pPr>
              <w:pStyle w:val="TableParagraph"/>
              <w:ind w:left="227"/>
              <w:rPr>
                <w:b/>
                <w:sz w:val="22"/>
              </w:rPr>
            </w:pPr>
            <w:r>
              <w:rPr>
                <w:b/>
                <w:sz w:val="22"/>
              </w:rPr>
              <w:t>Prénom</w:t>
            </w:r>
          </w:p>
        </w:tc>
        <w:tc>
          <w:tcPr>
            <w:tcW w:w="1165" w:type="dxa"/>
            <w:shd w:val="clear" w:color="auto" w:fill="8DB3E1"/>
          </w:tcPr>
          <w:p>
            <w:pPr>
              <w:pStyle w:val="TableParagraph"/>
              <w:spacing w:before="9"/>
              <w:rPr>
                <w:sz w:val="24"/>
              </w:rPr>
            </w:pPr>
          </w:p>
          <w:p>
            <w:pPr>
              <w:pStyle w:val="TableParagraph"/>
              <w:ind w:left="338"/>
              <w:rPr>
                <w:b/>
                <w:sz w:val="22"/>
              </w:rPr>
            </w:pPr>
            <w:r>
              <w:rPr>
                <w:b/>
                <w:sz w:val="22"/>
              </w:rPr>
              <w:t>Nom</w:t>
            </w:r>
          </w:p>
        </w:tc>
        <w:tc>
          <w:tcPr>
            <w:tcW w:w="1707" w:type="dxa"/>
            <w:shd w:val="clear" w:color="auto" w:fill="8DB3E1"/>
          </w:tcPr>
          <w:p>
            <w:pPr>
              <w:pStyle w:val="TableParagraph"/>
              <w:spacing w:before="9"/>
              <w:rPr>
                <w:sz w:val="24"/>
              </w:rPr>
            </w:pPr>
          </w:p>
          <w:p>
            <w:pPr>
              <w:pStyle w:val="TableParagraph"/>
              <w:ind w:left="106"/>
              <w:rPr>
                <w:b/>
                <w:sz w:val="22"/>
              </w:rPr>
            </w:pPr>
            <w:r>
              <w:rPr>
                <w:b/>
                <w:sz w:val="22"/>
              </w:rPr>
              <w:t>Établissement</w:t>
            </w:r>
          </w:p>
        </w:tc>
        <w:tc>
          <w:tcPr>
            <w:tcW w:w="1351" w:type="dxa"/>
            <w:shd w:val="clear" w:color="auto" w:fill="8DB3E1"/>
          </w:tcPr>
          <w:p>
            <w:pPr>
              <w:pStyle w:val="TableParagraph"/>
              <w:spacing w:before="9"/>
              <w:rPr>
                <w:sz w:val="24"/>
              </w:rPr>
            </w:pPr>
          </w:p>
          <w:p>
            <w:pPr>
              <w:pStyle w:val="TableParagraph"/>
              <w:ind w:left="157"/>
              <w:rPr>
                <w:b/>
                <w:sz w:val="22"/>
              </w:rPr>
            </w:pPr>
            <w:r>
              <w:rPr>
                <w:b/>
                <w:sz w:val="22"/>
              </w:rPr>
              <w:t>Discipline</w:t>
            </w:r>
          </w:p>
        </w:tc>
        <w:tc>
          <w:tcPr>
            <w:tcW w:w="1243" w:type="dxa"/>
            <w:shd w:val="clear" w:color="auto" w:fill="8DB3E1"/>
          </w:tcPr>
          <w:p>
            <w:pPr>
              <w:pStyle w:val="TableParagraph"/>
              <w:spacing w:line="276" w:lineRule="auto"/>
              <w:ind w:left="368" w:right="234" w:hanging="111"/>
              <w:rPr>
                <w:b/>
                <w:sz w:val="22"/>
              </w:rPr>
            </w:pPr>
            <w:r>
              <w:rPr>
                <w:b/>
                <w:sz w:val="22"/>
              </w:rPr>
              <w:t>Intitulé de la</w:t>
            </w:r>
          </w:p>
          <w:p>
            <w:pPr>
              <w:pStyle w:val="TableParagraph"/>
              <w:spacing w:line="252" w:lineRule="exact"/>
              <w:ind w:left="332"/>
              <w:rPr>
                <w:b/>
                <w:sz w:val="22"/>
              </w:rPr>
            </w:pPr>
            <w:r>
              <w:rPr>
                <w:b/>
                <w:sz w:val="22"/>
              </w:rPr>
              <w:t>thèse</w:t>
            </w:r>
          </w:p>
        </w:tc>
        <w:tc>
          <w:tcPr>
            <w:tcW w:w="1304" w:type="dxa"/>
            <w:shd w:val="clear" w:color="auto" w:fill="8DB3E1"/>
          </w:tcPr>
          <w:p>
            <w:pPr>
              <w:pStyle w:val="TableParagraph"/>
              <w:spacing w:line="278" w:lineRule="auto" w:before="139"/>
              <w:ind w:left="198" w:right="171" w:firstLine="122"/>
              <w:rPr>
                <w:b/>
                <w:sz w:val="22"/>
              </w:rPr>
            </w:pPr>
            <w:r>
              <w:rPr>
                <w:b/>
                <w:sz w:val="22"/>
              </w:rPr>
              <w:t>E-mail candidat</w:t>
            </w:r>
          </w:p>
        </w:tc>
      </w:tr>
      <w:tr>
        <w:trPr>
          <w:trHeight w:val="292" w:hRule="atLeast"/>
        </w:trPr>
        <w:tc>
          <w:tcPr>
            <w:tcW w:w="1244" w:type="dxa"/>
          </w:tcPr>
          <w:p>
            <w:pPr>
              <w:pStyle w:val="TableParagraph"/>
              <w:rPr>
                <w:rFonts w:ascii="Times New Roman"/>
                <w:sz w:val="20"/>
              </w:rPr>
            </w:pPr>
          </w:p>
        </w:tc>
        <w:tc>
          <w:tcPr>
            <w:tcW w:w="1277" w:type="dxa"/>
          </w:tcPr>
          <w:p>
            <w:pPr>
              <w:pStyle w:val="TableParagraph"/>
              <w:rPr>
                <w:rFonts w:ascii="Times New Roman"/>
                <w:sz w:val="20"/>
              </w:rPr>
            </w:pPr>
          </w:p>
        </w:tc>
        <w:tc>
          <w:tcPr>
            <w:tcW w:w="1165" w:type="dxa"/>
          </w:tcPr>
          <w:p>
            <w:pPr>
              <w:pStyle w:val="TableParagraph"/>
              <w:rPr>
                <w:rFonts w:ascii="Times New Roman"/>
                <w:sz w:val="20"/>
              </w:rPr>
            </w:pPr>
          </w:p>
        </w:tc>
        <w:tc>
          <w:tcPr>
            <w:tcW w:w="1707" w:type="dxa"/>
          </w:tcPr>
          <w:p>
            <w:pPr>
              <w:pStyle w:val="TableParagraph"/>
              <w:rPr>
                <w:rFonts w:ascii="Times New Roman"/>
                <w:sz w:val="20"/>
              </w:rPr>
            </w:pPr>
          </w:p>
        </w:tc>
        <w:tc>
          <w:tcPr>
            <w:tcW w:w="1351" w:type="dxa"/>
          </w:tcPr>
          <w:p>
            <w:pPr>
              <w:pStyle w:val="TableParagraph"/>
              <w:rPr>
                <w:rFonts w:ascii="Times New Roman"/>
                <w:sz w:val="20"/>
              </w:rPr>
            </w:pPr>
          </w:p>
        </w:tc>
        <w:tc>
          <w:tcPr>
            <w:tcW w:w="1243" w:type="dxa"/>
          </w:tcPr>
          <w:p>
            <w:pPr>
              <w:pStyle w:val="TableParagraph"/>
              <w:rPr>
                <w:rFonts w:ascii="Times New Roman"/>
                <w:sz w:val="20"/>
              </w:rPr>
            </w:pPr>
          </w:p>
        </w:tc>
        <w:tc>
          <w:tcPr>
            <w:tcW w:w="1304" w:type="dxa"/>
          </w:tcPr>
          <w:p>
            <w:pPr>
              <w:pStyle w:val="TableParagraph"/>
              <w:rPr>
                <w:rFonts w:ascii="Times New Roman"/>
                <w:sz w:val="20"/>
              </w:rPr>
            </w:pPr>
          </w:p>
        </w:tc>
      </w:tr>
    </w:tbl>
    <w:p>
      <w:pPr>
        <w:pStyle w:val="BodyText"/>
        <w:spacing w:before="5"/>
        <w:rPr>
          <w:sz w:val="25"/>
        </w:rPr>
      </w:pPr>
    </w:p>
    <w:p>
      <w:pPr>
        <w:spacing w:line="500" w:lineRule="atLeast" w:before="0"/>
        <w:ind w:left="1395" w:right="1426" w:firstLine="0"/>
        <w:jc w:val="center"/>
        <w:rPr>
          <w:sz w:val="22"/>
        </w:rPr>
      </w:pPr>
      <w:r>
        <w:rPr>
          <w:sz w:val="22"/>
        </w:rPr>
        <w:t>Les candidatures devront être adressées </w:t>
      </w:r>
      <w:r>
        <w:rPr>
          <w:b/>
          <w:sz w:val="22"/>
        </w:rPr>
        <w:t>au plus tard, le 14 juin 2019 </w:t>
      </w:r>
      <w:r>
        <w:rPr>
          <w:sz w:val="22"/>
        </w:rPr>
        <w:t>à l’adresse suivante : </w:t>
      </w:r>
      <w:r>
        <w:rPr>
          <w:sz w:val="22"/>
          <w:u w:val="single"/>
        </w:rPr>
        <w:t>Par envoi postal</w:t>
      </w:r>
      <w:r>
        <w:rPr>
          <w:sz w:val="22"/>
        </w:rPr>
        <w:t> :</w:t>
      </w:r>
    </w:p>
    <w:p>
      <w:pPr>
        <w:spacing w:before="8"/>
        <w:ind w:left="3763" w:right="3760" w:firstLine="0"/>
        <w:jc w:val="center"/>
        <w:rPr>
          <w:sz w:val="22"/>
        </w:rPr>
      </w:pPr>
      <w:r>
        <w:rPr>
          <w:sz w:val="22"/>
        </w:rPr>
        <w:t>Chancellerie des universités de Paris Division de l’administration de la chancellerie 47, rue des Écoles – 75230 Paris cedex 05</w:t>
      </w:r>
    </w:p>
    <w:p>
      <w:pPr>
        <w:pStyle w:val="BodyText"/>
        <w:spacing w:before="10"/>
      </w:pPr>
    </w:p>
    <w:p>
      <w:pPr>
        <w:spacing w:before="0"/>
        <w:ind w:left="4143" w:right="4127" w:firstLine="1173"/>
        <w:jc w:val="left"/>
        <w:rPr>
          <w:sz w:val="22"/>
        </w:rPr>
      </w:pPr>
      <w:r>
        <w:rPr>
          <w:sz w:val="22"/>
          <w:u w:val="single"/>
        </w:rPr>
        <w:t>Par portage</w:t>
      </w:r>
      <w:r>
        <w:rPr>
          <w:sz w:val="22"/>
        </w:rPr>
        <w:t> : Chancellerie des universités de Paris</w:t>
      </w:r>
    </w:p>
    <w:p>
      <w:pPr>
        <w:spacing w:before="1"/>
        <w:ind w:left="3614" w:right="3611" w:firstLine="0"/>
        <w:jc w:val="center"/>
        <w:rPr>
          <w:sz w:val="22"/>
        </w:rPr>
      </w:pPr>
      <w:r>
        <w:rPr>
          <w:sz w:val="22"/>
        </w:rPr>
        <w:t>Division de l’administration de la chancellerie 10, rue de la Sorbonne (2</w:t>
      </w:r>
      <w:r>
        <w:rPr>
          <w:sz w:val="22"/>
          <w:vertAlign w:val="superscript"/>
        </w:rPr>
        <w:t>e</w:t>
      </w:r>
      <w:r>
        <w:rPr>
          <w:sz w:val="22"/>
          <w:vertAlign w:val="baseline"/>
        </w:rPr>
        <w:t> étage) – 75005</w:t>
      </w:r>
      <w:r>
        <w:rPr>
          <w:spacing w:val="-3"/>
          <w:sz w:val="22"/>
          <w:vertAlign w:val="baseline"/>
        </w:rPr>
        <w:t> </w:t>
      </w:r>
      <w:r>
        <w:rPr>
          <w:sz w:val="22"/>
          <w:vertAlign w:val="baseline"/>
        </w:rPr>
        <w:t>Paris</w:t>
      </w:r>
    </w:p>
    <w:p>
      <w:pPr>
        <w:pStyle w:val="BodyText"/>
        <w:rPr>
          <w:sz w:val="26"/>
        </w:rPr>
      </w:pPr>
    </w:p>
    <w:p>
      <w:pPr>
        <w:spacing w:before="208"/>
        <w:ind w:left="1430" w:right="1426" w:firstLine="0"/>
        <w:jc w:val="center"/>
        <w:rPr>
          <w:sz w:val="22"/>
        </w:rPr>
      </w:pPr>
      <w:r>
        <w:rPr>
          <w:sz w:val="22"/>
        </w:rPr>
        <w:t>Les délibérations du jury se déroulent traditionnellement au cours du 3</w:t>
      </w:r>
      <w:r>
        <w:rPr>
          <w:sz w:val="22"/>
          <w:vertAlign w:val="superscript"/>
        </w:rPr>
        <w:t>ème</w:t>
      </w:r>
      <w:r>
        <w:rPr>
          <w:sz w:val="22"/>
          <w:vertAlign w:val="baseline"/>
        </w:rPr>
        <w:t> trimestre de l’année. Les candidats sont informés des résultats dans la semaine qui suit les délibérations.</w:t>
      </w:r>
    </w:p>
    <w:p>
      <w:pPr>
        <w:pStyle w:val="BodyText"/>
        <w:rPr>
          <w:sz w:val="24"/>
        </w:rPr>
      </w:pPr>
    </w:p>
    <w:p>
      <w:pPr>
        <w:pStyle w:val="BodyText"/>
        <w:rPr>
          <w:sz w:val="24"/>
        </w:rPr>
      </w:pPr>
    </w:p>
    <w:p>
      <w:pPr>
        <w:spacing w:before="1"/>
        <w:ind w:left="1416" w:right="1416" w:firstLine="0"/>
        <w:jc w:val="center"/>
        <w:rPr>
          <w:b/>
          <w:sz w:val="24"/>
        </w:rPr>
      </w:pPr>
      <w:r>
        <w:rPr>
          <w:b/>
          <w:sz w:val="24"/>
        </w:rPr>
        <w:t>Pour toute information complémentaire :</w:t>
      </w:r>
    </w:p>
    <w:p>
      <w:pPr>
        <w:pStyle w:val="BodyText"/>
        <w:spacing w:before="9"/>
        <w:rPr>
          <w:b/>
          <w:sz w:val="28"/>
        </w:rPr>
      </w:pPr>
    </w:p>
    <w:p>
      <w:pPr>
        <w:spacing w:line="276" w:lineRule="auto" w:before="0"/>
        <w:ind w:left="4208" w:right="4209" w:firstLine="0"/>
        <w:jc w:val="center"/>
        <w:rPr>
          <w:sz w:val="22"/>
        </w:rPr>
      </w:pPr>
      <w:r>
        <w:rPr>
          <w:sz w:val="22"/>
        </w:rPr>
        <w:t>Service Développement et Mécénat 01 40 46 21 19</w:t>
      </w:r>
    </w:p>
    <w:p>
      <w:pPr>
        <w:spacing w:line="276" w:lineRule="auto" w:before="1"/>
        <w:ind w:left="4208" w:right="4206" w:firstLine="0"/>
        <w:jc w:val="center"/>
        <w:rPr>
          <w:sz w:val="22"/>
        </w:rPr>
      </w:pPr>
      <w:hyperlink r:id="rId8">
        <w:r>
          <w:rPr>
            <w:color w:val="0000FF"/>
            <w:sz w:val="22"/>
            <w:u w:val="single" w:color="0000FF"/>
          </w:rPr>
          <w:t>prix.chancellerie@ac-paris.fr</w:t>
        </w:r>
      </w:hyperlink>
      <w:r>
        <w:rPr>
          <w:color w:val="0000FF"/>
          <w:sz w:val="22"/>
        </w:rPr>
        <w:t> </w:t>
      </w:r>
      <w:r>
        <w:rPr>
          <w:sz w:val="22"/>
        </w:rPr>
        <w:t>sorbonne.fr</w:t>
      </w:r>
    </w:p>
    <w:p>
      <w:pPr>
        <w:pStyle w:val="BodyText"/>
        <w:rPr>
          <w:sz w:val="20"/>
        </w:rPr>
      </w:pPr>
    </w:p>
    <w:p>
      <w:pPr>
        <w:pStyle w:val="BodyText"/>
        <w:spacing w:before="7"/>
        <w:rPr>
          <w:sz w:val="13"/>
        </w:rPr>
      </w:pPr>
      <w:r>
        <w:rPr/>
        <w:pict>
          <v:line style="position:absolute;mso-position-horizontal-relative:page;mso-position-vertical-relative:paragraph;z-index:1120;mso-wrap-distance-left:0;mso-wrap-distance-right:0" from="70.823997pt,10.2pt" to="214.843997pt,10.2pt" stroked="true" strokeweight=".71997pt" strokecolor="#000000">
            <v:stroke dashstyle="solid"/>
            <w10:wrap type="topAndBottom"/>
          </v:line>
        </w:pict>
      </w:r>
    </w:p>
    <w:p>
      <w:pPr>
        <w:spacing w:before="39"/>
        <w:ind w:left="1416" w:right="0" w:firstLine="0"/>
        <w:jc w:val="left"/>
        <w:rPr>
          <w:rFonts w:ascii="Calibri" w:hAnsi="Calibri"/>
          <w:i/>
          <w:sz w:val="20"/>
        </w:rPr>
      </w:pPr>
      <w:r>
        <w:rPr>
          <w:rFonts w:ascii="Calibri" w:hAnsi="Calibri"/>
          <w:i/>
          <w:position w:val="10"/>
          <w:sz w:val="13"/>
        </w:rPr>
        <w:t>1 </w:t>
      </w:r>
      <w:r>
        <w:rPr>
          <w:rFonts w:ascii="Calibri" w:hAnsi="Calibri"/>
          <w:i/>
          <w:sz w:val="20"/>
        </w:rPr>
        <w:t>Les dossiers de candidature sont conservés par la chancellerie pour une durée d’un an.</w:t>
      </w:r>
    </w:p>
    <w:sectPr>
      <w:pgSz w:w="11910" w:h="16840"/>
      <w:pgMar w:top="13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11">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10">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9">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8">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7">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6">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5">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4">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3">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2">
    <w:multiLevelType w:val="hybridMultilevel"/>
    <w:lvl w:ilvl="0">
      <w:start w:val="0"/>
      <w:numFmt w:val="bullet"/>
      <w:lvlText w:val=""/>
      <w:lvlJc w:val="left"/>
      <w:pPr>
        <w:ind w:left="549"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963" w:hanging="284"/>
      </w:pPr>
      <w:rPr>
        <w:rFonts w:hint="default"/>
        <w:lang w:val="fr-FR" w:eastAsia="fr-FR" w:bidi="fr-FR"/>
      </w:rPr>
    </w:lvl>
    <w:lvl w:ilvl="2">
      <w:start w:val="0"/>
      <w:numFmt w:val="bullet"/>
      <w:lvlText w:val="•"/>
      <w:lvlJc w:val="left"/>
      <w:pPr>
        <w:ind w:left="1387" w:hanging="284"/>
      </w:pPr>
      <w:rPr>
        <w:rFonts w:hint="default"/>
        <w:lang w:val="fr-FR" w:eastAsia="fr-FR" w:bidi="fr-FR"/>
      </w:rPr>
    </w:lvl>
    <w:lvl w:ilvl="3">
      <w:start w:val="0"/>
      <w:numFmt w:val="bullet"/>
      <w:lvlText w:val="•"/>
      <w:lvlJc w:val="left"/>
      <w:pPr>
        <w:ind w:left="1810" w:hanging="284"/>
      </w:pPr>
      <w:rPr>
        <w:rFonts w:hint="default"/>
        <w:lang w:val="fr-FR" w:eastAsia="fr-FR" w:bidi="fr-FR"/>
      </w:rPr>
    </w:lvl>
    <w:lvl w:ilvl="4">
      <w:start w:val="0"/>
      <w:numFmt w:val="bullet"/>
      <w:lvlText w:val="•"/>
      <w:lvlJc w:val="left"/>
      <w:pPr>
        <w:ind w:left="2234" w:hanging="284"/>
      </w:pPr>
      <w:rPr>
        <w:rFonts w:hint="default"/>
        <w:lang w:val="fr-FR" w:eastAsia="fr-FR" w:bidi="fr-FR"/>
      </w:rPr>
    </w:lvl>
    <w:lvl w:ilvl="5">
      <w:start w:val="0"/>
      <w:numFmt w:val="bullet"/>
      <w:lvlText w:val="•"/>
      <w:lvlJc w:val="left"/>
      <w:pPr>
        <w:ind w:left="2657" w:hanging="284"/>
      </w:pPr>
      <w:rPr>
        <w:rFonts w:hint="default"/>
        <w:lang w:val="fr-FR" w:eastAsia="fr-FR" w:bidi="fr-FR"/>
      </w:rPr>
    </w:lvl>
    <w:lvl w:ilvl="6">
      <w:start w:val="0"/>
      <w:numFmt w:val="bullet"/>
      <w:lvlText w:val="•"/>
      <w:lvlJc w:val="left"/>
      <w:pPr>
        <w:ind w:left="3081" w:hanging="284"/>
      </w:pPr>
      <w:rPr>
        <w:rFonts w:hint="default"/>
        <w:lang w:val="fr-FR" w:eastAsia="fr-FR" w:bidi="fr-FR"/>
      </w:rPr>
    </w:lvl>
    <w:lvl w:ilvl="7">
      <w:start w:val="0"/>
      <w:numFmt w:val="bullet"/>
      <w:lvlText w:val="•"/>
      <w:lvlJc w:val="left"/>
      <w:pPr>
        <w:ind w:left="3504" w:hanging="284"/>
      </w:pPr>
      <w:rPr>
        <w:rFonts w:hint="default"/>
        <w:lang w:val="fr-FR" w:eastAsia="fr-FR" w:bidi="fr-FR"/>
      </w:rPr>
    </w:lvl>
    <w:lvl w:ilvl="8">
      <w:start w:val="0"/>
      <w:numFmt w:val="bullet"/>
      <w:lvlText w:val="•"/>
      <w:lvlJc w:val="left"/>
      <w:pPr>
        <w:ind w:left="3928" w:hanging="284"/>
      </w:pPr>
      <w:rPr>
        <w:rFonts w:hint="default"/>
        <w:lang w:val="fr-FR" w:eastAsia="fr-FR" w:bidi="fr-FR"/>
      </w:rPr>
    </w:lvl>
  </w:abstractNum>
  <w:abstractNum w:abstractNumId="1">
    <w:multiLevelType w:val="hybridMultilevel"/>
    <w:lvl w:ilvl="0">
      <w:start w:val="0"/>
      <w:numFmt w:val="bullet"/>
      <w:lvlText w:val=""/>
      <w:lvlJc w:val="left"/>
      <w:pPr>
        <w:ind w:left="483" w:hanging="284"/>
      </w:pPr>
      <w:rPr>
        <w:rFonts w:hint="default" w:ascii="Wingdings" w:hAnsi="Wingdings" w:eastAsia="Wingdings" w:cs="Wingdings"/>
        <w:w w:val="100"/>
        <w:sz w:val="22"/>
        <w:szCs w:val="22"/>
        <w:lang w:val="fr-FR" w:eastAsia="fr-FR" w:bidi="fr-FR"/>
      </w:rPr>
    </w:lvl>
    <w:lvl w:ilvl="1">
      <w:start w:val="0"/>
      <w:numFmt w:val="bullet"/>
      <w:lvlText w:val="•"/>
      <w:lvlJc w:val="left"/>
      <w:pPr>
        <w:ind w:left="886" w:hanging="284"/>
      </w:pPr>
      <w:rPr>
        <w:rFonts w:hint="default"/>
        <w:lang w:val="fr-FR" w:eastAsia="fr-FR" w:bidi="fr-FR"/>
      </w:rPr>
    </w:lvl>
    <w:lvl w:ilvl="2">
      <w:start w:val="0"/>
      <w:numFmt w:val="bullet"/>
      <w:lvlText w:val="•"/>
      <w:lvlJc w:val="left"/>
      <w:pPr>
        <w:ind w:left="1292" w:hanging="284"/>
      </w:pPr>
      <w:rPr>
        <w:rFonts w:hint="default"/>
        <w:lang w:val="fr-FR" w:eastAsia="fr-FR" w:bidi="fr-FR"/>
      </w:rPr>
    </w:lvl>
    <w:lvl w:ilvl="3">
      <w:start w:val="0"/>
      <w:numFmt w:val="bullet"/>
      <w:lvlText w:val="•"/>
      <w:lvlJc w:val="left"/>
      <w:pPr>
        <w:ind w:left="1698" w:hanging="284"/>
      </w:pPr>
      <w:rPr>
        <w:rFonts w:hint="default"/>
        <w:lang w:val="fr-FR" w:eastAsia="fr-FR" w:bidi="fr-FR"/>
      </w:rPr>
    </w:lvl>
    <w:lvl w:ilvl="4">
      <w:start w:val="0"/>
      <w:numFmt w:val="bullet"/>
      <w:lvlText w:val="•"/>
      <w:lvlJc w:val="left"/>
      <w:pPr>
        <w:ind w:left="2104" w:hanging="284"/>
      </w:pPr>
      <w:rPr>
        <w:rFonts w:hint="default"/>
        <w:lang w:val="fr-FR" w:eastAsia="fr-FR" w:bidi="fr-FR"/>
      </w:rPr>
    </w:lvl>
    <w:lvl w:ilvl="5">
      <w:start w:val="0"/>
      <w:numFmt w:val="bullet"/>
      <w:lvlText w:val="•"/>
      <w:lvlJc w:val="left"/>
      <w:pPr>
        <w:ind w:left="2511" w:hanging="284"/>
      </w:pPr>
      <w:rPr>
        <w:rFonts w:hint="default"/>
        <w:lang w:val="fr-FR" w:eastAsia="fr-FR" w:bidi="fr-FR"/>
      </w:rPr>
    </w:lvl>
    <w:lvl w:ilvl="6">
      <w:start w:val="0"/>
      <w:numFmt w:val="bullet"/>
      <w:lvlText w:val="•"/>
      <w:lvlJc w:val="left"/>
      <w:pPr>
        <w:ind w:left="2917" w:hanging="284"/>
      </w:pPr>
      <w:rPr>
        <w:rFonts w:hint="default"/>
        <w:lang w:val="fr-FR" w:eastAsia="fr-FR" w:bidi="fr-FR"/>
      </w:rPr>
    </w:lvl>
    <w:lvl w:ilvl="7">
      <w:start w:val="0"/>
      <w:numFmt w:val="bullet"/>
      <w:lvlText w:val="•"/>
      <w:lvlJc w:val="left"/>
      <w:pPr>
        <w:ind w:left="3323" w:hanging="284"/>
      </w:pPr>
      <w:rPr>
        <w:rFonts w:hint="default"/>
        <w:lang w:val="fr-FR" w:eastAsia="fr-FR" w:bidi="fr-FR"/>
      </w:rPr>
    </w:lvl>
    <w:lvl w:ilvl="8">
      <w:start w:val="0"/>
      <w:numFmt w:val="bullet"/>
      <w:lvlText w:val="•"/>
      <w:lvlJc w:val="left"/>
      <w:pPr>
        <w:ind w:left="3729" w:hanging="284"/>
      </w:pPr>
      <w:rPr>
        <w:rFonts w:hint="default"/>
        <w:lang w:val="fr-FR" w:eastAsia="fr-FR" w:bidi="fr-FR"/>
      </w:rPr>
    </w:lvl>
  </w:abstractNum>
  <w:abstractNum w:abstractNumId="0">
    <w:multiLevelType w:val="hybridMultilevel"/>
    <w:lvl w:ilvl="0">
      <w:start w:val="0"/>
      <w:numFmt w:val="bullet"/>
      <w:lvlText w:val=""/>
      <w:lvlJc w:val="left"/>
      <w:pPr>
        <w:ind w:left="1699" w:hanging="284"/>
      </w:pPr>
      <w:rPr>
        <w:rFonts w:hint="default" w:ascii="Symbol" w:hAnsi="Symbol" w:eastAsia="Symbol" w:cs="Symbol"/>
        <w:w w:val="100"/>
        <w:sz w:val="22"/>
        <w:szCs w:val="22"/>
        <w:lang w:val="fr-FR" w:eastAsia="fr-FR" w:bidi="fr-FR"/>
      </w:rPr>
    </w:lvl>
    <w:lvl w:ilvl="1">
      <w:start w:val="0"/>
      <w:numFmt w:val="bullet"/>
      <w:lvlText w:val="-"/>
      <w:lvlJc w:val="left"/>
      <w:pPr>
        <w:ind w:left="2136" w:hanging="360"/>
      </w:pPr>
      <w:rPr>
        <w:rFonts w:hint="default" w:ascii="Arial" w:hAnsi="Arial" w:eastAsia="Arial" w:cs="Arial"/>
        <w:w w:val="100"/>
        <w:sz w:val="22"/>
        <w:szCs w:val="22"/>
        <w:lang w:val="fr-FR" w:eastAsia="fr-FR" w:bidi="fr-FR"/>
      </w:rPr>
    </w:lvl>
    <w:lvl w:ilvl="2">
      <w:start w:val="0"/>
      <w:numFmt w:val="bullet"/>
      <w:lvlText w:val="•"/>
      <w:lvlJc w:val="left"/>
      <w:pPr>
        <w:ind w:left="3225" w:hanging="360"/>
      </w:pPr>
      <w:rPr>
        <w:rFonts w:hint="default"/>
        <w:lang w:val="fr-FR" w:eastAsia="fr-FR" w:bidi="fr-FR"/>
      </w:rPr>
    </w:lvl>
    <w:lvl w:ilvl="3">
      <w:start w:val="0"/>
      <w:numFmt w:val="bullet"/>
      <w:lvlText w:val="•"/>
      <w:lvlJc w:val="left"/>
      <w:pPr>
        <w:ind w:left="4310" w:hanging="360"/>
      </w:pPr>
      <w:rPr>
        <w:rFonts w:hint="default"/>
        <w:lang w:val="fr-FR" w:eastAsia="fr-FR" w:bidi="fr-FR"/>
      </w:rPr>
    </w:lvl>
    <w:lvl w:ilvl="4">
      <w:start w:val="0"/>
      <w:numFmt w:val="bullet"/>
      <w:lvlText w:val="•"/>
      <w:lvlJc w:val="left"/>
      <w:pPr>
        <w:ind w:left="5395" w:hanging="360"/>
      </w:pPr>
      <w:rPr>
        <w:rFonts w:hint="default"/>
        <w:lang w:val="fr-FR" w:eastAsia="fr-FR" w:bidi="fr-FR"/>
      </w:rPr>
    </w:lvl>
    <w:lvl w:ilvl="5">
      <w:start w:val="0"/>
      <w:numFmt w:val="bullet"/>
      <w:lvlText w:val="•"/>
      <w:lvlJc w:val="left"/>
      <w:pPr>
        <w:ind w:left="6480" w:hanging="360"/>
      </w:pPr>
      <w:rPr>
        <w:rFonts w:hint="default"/>
        <w:lang w:val="fr-FR" w:eastAsia="fr-FR" w:bidi="fr-FR"/>
      </w:rPr>
    </w:lvl>
    <w:lvl w:ilvl="6">
      <w:start w:val="0"/>
      <w:numFmt w:val="bullet"/>
      <w:lvlText w:val="•"/>
      <w:lvlJc w:val="left"/>
      <w:pPr>
        <w:ind w:left="7565" w:hanging="360"/>
      </w:pPr>
      <w:rPr>
        <w:rFonts w:hint="default"/>
        <w:lang w:val="fr-FR" w:eastAsia="fr-FR" w:bidi="fr-FR"/>
      </w:rPr>
    </w:lvl>
    <w:lvl w:ilvl="7">
      <w:start w:val="0"/>
      <w:numFmt w:val="bullet"/>
      <w:lvlText w:val="•"/>
      <w:lvlJc w:val="left"/>
      <w:pPr>
        <w:ind w:left="8650" w:hanging="360"/>
      </w:pPr>
      <w:rPr>
        <w:rFonts w:hint="default"/>
        <w:lang w:val="fr-FR" w:eastAsia="fr-FR" w:bidi="fr-FR"/>
      </w:rPr>
    </w:lvl>
    <w:lvl w:ilvl="8">
      <w:start w:val="0"/>
      <w:numFmt w:val="bullet"/>
      <w:lvlText w:val="•"/>
      <w:lvlJc w:val="left"/>
      <w:pPr>
        <w:ind w:left="9735" w:hanging="360"/>
      </w:pPr>
      <w:rPr>
        <w:rFonts w:hint="default"/>
        <w:lang w:val="fr-FR" w:eastAsia="fr-FR" w:bidi="fr-FR"/>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1"/>
      <w:szCs w:val="21"/>
      <w:lang w:val="fr-FR" w:eastAsia="fr-FR" w:bidi="fr-FR"/>
    </w:rPr>
  </w:style>
  <w:style w:styleId="Heading1" w:type="paragraph">
    <w:name w:val="Heading 1"/>
    <w:basedOn w:val="Normal"/>
    <w:uiPriority w:val="1"/>
    <w:qFormat/>
    <w:pPr>
      <w:spacing w:before="2"/>
      <w:ind w:left="1416"/>
      <w:outlineLvl w:val="1"/>
    </w:pPr>
    <w:rPr>
      <w:rFonts w:ascii="Arial" w:hAnsi="Arial" w:eastAsia="Arial" w:cs="Arial"/>
      <w:b/>
      <w:bCs/>
      <w:sz w:val="28"/>
      <w:szCs w:val="28"/>
      <w:lang w:val="fr-FR" w:eastAsia="fr-FR" w:bidi="fr-FR"/>
    </w:rPr>
  </w:style>
  <w:style w:styleId="Heading2" w:type="paragraph">
    <w:name w:val="Heading 2"/>
    <w:basedOn w:val="Normal"/>
    <w:uiPriority w:val="1"/>
    <w:qFormat/>
    <w:pPr>
      <w:ind w:left="1416"/>
      <w:outlineLvl w:val="2"/>
    </w:pPr>
    <w:rPr>
      <w:rFonts w:ascii="Arial" w:hAnsi="Arial" w:eastAsia="Arial" w:cs="Arial"/>
      <w:b/>
      <w:bCs/>
      <w:sz w:val="24"/>
      <w:szCs w:val="24"/>
      <w:lang w:val="fr-FR" w:eastAsia="fr-FR" w:bidi="fr-FR"/>
    </w:rPr>
  </w:style>
  <w:style w:styleId="ListParagraph" w:type="paragraph">
    <w:name w:val="List Paragraph"/>
    <w:basedOn w:val="Normal"/>
    <w:uiPriority w:val="1"/>
    <w:qFormat/>
    <w:pPr>
      <w:ind w:left="2136" w:hanging="360"/>
    </w:pPr>
    <w:rPr>
      <w:rFonts w:ascii="Arial" w:hAnsi="Arial" w:eastAsia="Arial" w:cs="Arial"/>
      <w:lang w:val="fr-FR" w:eastAsia="fr-FR" w:bidi="fr-FR"/>
    </w:rPr>
  </w:style>
  <w:style w:styleId="TableParagraph" w:type="paragraph">
    <w:name w:val="Table Paragraph"/>
    <w:basedOn w:val="Normal"/>
    <w:uiPriority w:val="1"/>
    <w:qFormat/>
    <w:pPr/>
    <w:rPr>
      <w:rFonts w:ascii="Arial" w:hAnsi="Arial" w:eastAsia="Arial" w:cs="Arial"/>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sorbonne.fr/" TargetMode="External"/><Relationship Id="rId8" Type="http://schemas.openxmlformats.org/officeDocument/2006/relationships/hyperlink" Target="mailto:prix.chancellerie@ac-paris.f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FLTC</dc:creator>
  <dcterms:created xsi:type="dcterms:W3CDTF">2019-04-18T09:49:15Z</dcterms:created>
  <dcterms:modified xsi:type="dcterms:W3CDTF">2019-04-18T09:49:15Z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Word 2010</vt:lpwstr>
  </property>
  <property fmtid="{D5CDD505-2E9C-101B-9397-08002B2CF9AE}" pid="4" name="LastSaved">
    <vt:filetime>2019-04-18T00:00:00Z</vt:filetime>
  </property>
</Properties>
</file>